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FD" w:rsidRPr="007E7773" w:rsidRDefault="00953AC6">
      <w:pPr>
        <w:pStyle w:val="BodyText"/>
        <w:spacing w:before="50"/>
        <w:ind w:left="2002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Z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</w:t>
      </w:r>
    </w:p>
    <w:p w:rsidR="001C11FD" w:rsidRPr="007E7773" w:rsidRDefault="00953AC6">
      <w:pPr>
        <w:pStyle w:val="BodyText"/>
        <w:spacing w:line="312" w:lineRule="exact"/>
        <w:ind w:left="536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  <w:u w:val="thick" w:color="000000"/>
        </w:rPr>
        <w:t>AT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MWANZA</w:t>
      </w:r>
    </w:p>
    <w:p w:rsidR="001C11FD" w:rsidRPr="007E7773" w:rsidRDefault="001C11FD">
      <w:pPr>
        <w:spacing w:before="1" w:line="26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/>
        <w:ind w:left="745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  <w:u w:val="thick" w:color="000000"/>
        </w:rPr>
        <w:t>C</w:t>
      </w:r>
      <w:r w:rsidRPr="007E7773">
        <w:rPr>
          <w:rFonts w:ascii="Arial" w:hAnsi="Arial" w:cs="Arial"/>
          <w:sz w:val="24"/>
          <w:szCs w:val="24"/>
          <w:u w:val="thick" w:color="000000"/>
        </w:rPr>
        <w:t>O</w:t>
      </w:r>
      <w:r w:rsidRPr="007E7773">
        <w:rPr>
          <w:rFonts w:ascii="Arial" w:hAnsi="Arial" w:cs="Arial"/>
          <w:sz w:val="24"/>
          <w:szCs w:val="24"/>
          <w:u w:val="thick" w:color="000000"/>
        </w:rPr>
        <w:t>R</w:t>
      </w:r>
      <w:r w:rsidRPr="007E7773">
        <w:rPr>
          <w:rFonts w:ascii="Arial" w:hAnsi="Arial" w:cs="Arial"/>
          <w:sz w:val="24"/>
          <w:szCs w:val="24"/>
          <w:u w:val="thick" w:color="000000"/>
        </w:rPr>
        <w:t>A</w:t>
      </w:r>
      <w:r w:rsidRPr="007E7773">
        <w:rPr>
          <w:rFonts w:ascii="Arial" w:hAnsi="Arial" w:cs="Arial"/>
          <w:sz w:val="24"/>
          <w:szCs w:val="24"/>
          <w:u w:val="thick" w:color="000000"/>
        </w:rPr>
        <w:t>M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R</w:t>
      </w:r>
      <w:r w:rsidRPr="007E7773">
        <w:rPr>
          <w:rFonts w:ascii="Arial" w:hAnsi="Arial" w:cs="Arial"/>
          <w:sz w:val="24"/>
          <w:szCs w:val="24"/>
          <w:u w:val="thick" w:color="000000"/>
        </w:rPr>
        <w:t>U</w:t>
      </w:r>
      <w:r w:rsidRPr="007E7773">
        <w:rPr>
          <w:rFonts w:ascii="Arial" w:hAnsi="Arial" w:cs="Arial"/>
          <w:sz w:val="24"/>
          <w:szCs w:val="24"/>
          <w:u w:val="thick" w:color="000000"/>
        </w:rPr>
        <w:t>TAKANGWA,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J.A</w:t>
      </w:r>
      <w:r w:rsidRPr="007E7773">
        <w:rPr>
          <w:rFonts w:ascii="Arial" w:hAnsi="Arial" w:cs="Arial"/>
          <w:sz w:val="24"/>
          <w:szCs w:val="24"/>
          <w:u w:val="thick" w:color="000000"/>
        </w:rPr>
        <w:t>.</w:t>
      </w:r>
      <w:proofErr w:type="gramStart"/>
      <w:r w:rsidRPr="007E7773">
        <w:rPr>
          <w:rFonts w:ascii="Arial" w:hAnsi="Arial" w:cs="Arial"/>
          <w:sz w:val="24"/>
          <w:szCs w:val="24"/>
          <w:u w:val="thick" w:color="000000"/>
        </w:rPr>
        <w:t>,MA</w:t>
      </w:r>
      <w:r w:rsidRPr="007E7773">
        <w:rPr>
          <w:rFonts w:ascii="Arial" w:hAnsi="Arial" w:cs="Arial"/>
          <w:sz w:val="24"/>
          <w:szCs w:val="24"/>
          <w:u w:val="thick" w:color="000000"/>
        </w:rPr>
        <w:t>S</w:t>
      </w:r>
      <w:r w:rsidRPr="007E7773">
        <w:rPr>
          <w:rFonts w:ascii="Arial" w:hAnsi="Arial" w:cs="Arial"/>
          <w:sz w:val="24"/>
          <w:szCs w:val="24"/>
          <w:u w:val="thick" w:color="000000"/>
        </w:rPr>
        <w:t>SATI</w:t>
      </w:r>
      <w:proofErr w:type="gramEnd"/>
      <w:r w:rsidRPr="007E7773">
        <w:rPr>
          <w:rFonts w:ascii="Arial" w:hAnsi="Arial" w:cs="Arial"/>
          <w:sz w:val="24"/>
          <w:szCs w:val="24"/>
          <w:u w:val="thick" w:color="000000"/>
        </w:rPr>
        <w:t>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J.A.,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And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M</w:t>
      </w:r>
      <w:r w:rsidRPr="007E7773">
        <w:rPr>
          <w:rFonts w:ascii="Arial" w:hAnsi="Arial" w:cs="Arial"/>
          <w:sz w:val="24"/>
          <w:szCs w:val="24"/>
          <w:u w:val="thick" w:color="000000"/>
        </w:rPr>
        <w:t>UG</w:t>
      </w:r>
      <w:r w:rsidRPr="007E7773">
        <w:rPr>
          <w:rFonts w:ascii="Arial" w:hAnsi="Arial" w:cs="Arial"/>
          <w:sz w:val="24"/>
          <w:szCs w:val="24"/>
          <w:u w:val="thick" w:color="000000"/>
        </w:rPr>
        <w:t>A</w:t>
      </w:r>
      <w:r w:rsidRPr="007E7773">
        <w:rPr>
          <w:rFonts w:ascii="Arial" w:hAnsi="Arial" w:cs="Arial"/>
          <w:sz w:val="24"/>
          <w:szCs w:val="24"/>
          <w:u w:val="thick" w:color="000000"/>
        </w:rPr>
        <w:t>S</w:t>
      </w:r>
      <w:r w:rsidRPr="007E7773">
        <w:rPr>
          <w:rFonts w:ascii="Arial" w:hAnsi="Arial" w:cs="Arial"/>
          <w:sz w:val="24"/>
          <w:szCs w:val="24"/>
          <w:u w:val="thick" w:color="000000"/>
        </w:rPr>
        <w:t>HA,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J.A</w:t>
      </w:r>
      <w:r w:rsidRPr="007E7773">
        <w:rPr>
          <w:rFonts w:ascii="Arial" w:hAnsi="Arial" w:cs="Arial"/>
          <w:sz w:val="24"/>
          <w:szCs w:val="24"/>
          <w:u w:val="thick" w:color="000000"/>
        </w:rPr>
        <w:t>.</w:t>
      </w:r>
      <w:r w:rsidRPr="007E7773">
        <w:rPr>
          <w:rFonts w:ascii="Arial" w:hAnsi="Arial" w:cs="Arial"/>
          <w:sz w:val="24"/>
          <w:szCs w:val="24"/>
        </w:rPr>
        <w:t>)</w:t>
      </w:r>
    </w:p>
    <w:p w:rsidR="001C11FD" w:rsidRPr="007E7773" w:rsidRDefault="001C11FD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/>
        <w:ind w:left="534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467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2015</w:t>
      </w:r>
    </w:p>
    <w:p w:rsidR="001C11FD" w:rsidRPr="007E7773" w:rsidRDefault="001C11FD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KA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WA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.</w:t>
      </w:r>
      <w:proofErr w:type="gramEnd"/>
      <w:r w:rsidRPr="007E7773">
        <w:rPr>
          <w:rFonts w:ascii="Arial" w:hAnsi="Arial" w:cs="Arial"/>
          <w:sz w:val="24"/>
          <w:szCs w:val="24"/>
        </w:rPr>
        <w:t>……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….……….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………….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LL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NT</w:t>
      </w:r>
    </w:p>
    <w:p w:rsidR="001C11FD" w:rsidRPr="007E7773" w:rsidRDefault="00953AC6">
      <w:pPr>
        <w:pStyle w:val="BodyText"/>
        <w:ind w:left="537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VERS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</w:p>
    <w:p w:rsidR="007E7773" w:rsidRDefault="00953AC6">
      <w:pPr>
        <w:pStyle w:val="BodyText"/>
        <w:spacing w:before="7" w:line="314" w:lineRule="exact"/>
        <w:ind w:left="1551" w:right="180" w:hanging="144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PUB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IC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..</w:t>
      </w:r>
      <w:proofErr w:type="gramEnd"/>
      <w:r w:rsidRPr="007E7773">
        <w:rPr>
          <w:rFonts w:ascii="Arial" w:hAnsi="Arial" w:cs="Arial"/>
          <w:sz w:val="24"/>
          <w:szCs w:val="24"/>
        </w:rPr>
        <w:t>………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……...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>………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>……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PO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NT</w:t>
      </w:r>
    </w:p>
    <w:p w:rsidR="001C11FD" w:rsidRPr="007E7773" w:rsidRDefault="00953AC6" w:rsidP="007E7773">
      <w:pPr>
        <w:pStyle w:val="BodyText"/>
        <w:spacing w:before="7" w:line="314" w:lineRule="exact"/>
        <w:ind w:left="1551" w:right="180" w:hanging="144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(Appeal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decision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igh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Tanzan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</w:t>
      </w:r>
      <w:r w:rsid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M</w:t>
      </w:r>
      <w:r w:rsidRPr="007E7773">
        <w:rPr>
          <w:rFonts w:ascii="Arial" w:hAnsi="Arial" w:cs="Arial"/>
          <w:sz w:val="24"/>
          <w:szCs w:val="24"/>
        </w:rPr>
        <w:t>wanz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)</w:t>
      </w:r>
    </w:p>
    <w:p w:rsidR="001C11FD" w:rsidRPr="007E7773" w:rsidRDefault="001C11FD">
      <w:pPr>
        <w:spacing w:before="3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ind w:left="538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(</w:t>
      </w:r>
      <w:proofErr w:type="spellStart"/>
      <w:r w:rsidRPr="007E7773">
        <w:rPr>
          <w:rFonts w:ascii="Arial" w:hAnsi="Arial" w:cs="Arial"/>
          <w:sz w:val="24"/>
          <w:szCs w:val="24"/>
          <w:u w:val="thick" w:color="000000"/>
        </w:rPr>
        <w:t>M</w:t>
      </w:r>
      <w:r w:rsidRPr="007E7773">
        <w:rPr>
          <w:rFonts w:ascii="Arial" w:hAnsi="Arial" w:cs="Arial"/>
          <w:sz w:val="24"/>
          <w:szCs w:val="24"/>
          <w:u w:val="thick" w:color="000000"/>
        </w:rPr>
        <w:t>w</w:t>
      </w:r>
      <w:r w:rsidRPr="007E7773">
        <w:rPr>
          <w:rFonts w:ascii="Arial" w:hAnsi="Arial" w:cs="Arial"/>
          <w:sz w:val="24"/>
          <w:szCs w:val="24"/>
          <w:u w:val="thick" w:color="000000"/>
        </w:rPr>
        <w:t>a</w:t>
      </w:r>
      <w:r w:rsidRPr="007E7773">
        <w:rPr>
          <w:rFonts w:ascii="Arial" w:hAnsi="Arial" w:cs="Arial"/>
          <w:sz w:val="24"/>
          <w:szCs w:val="24"/>
          <w:u w:val="thick" w:color="000000"/>
        </w:rPr>
        <w:t>nges</w:t>
      </w:r>
      <w:r w:rsidRPr="007E7773">
        <w:rPr>
          <w:rFonts w:ascii="Arial" w:hAnsi="Arial" w:cs="Arial"/>
          <w:sz w:val="24"/>
          <w:szCs w:val="24"/>
          <w:u w:val="thick" w:color="000000"/>
        </w:rPr>
        <w:t>i</w:t>
      </w:r>
      <w:proofErr w:type="spellEnd"/>
      <w:r w:rsidRPr="007E7773">
        <w:rPr>
          <w:rFonts w:ascii="Arial" w:hAnsi="Arial" w:cs="Arial"/>
          <w:sz w:val="24"/>
          <w:szCs w:val="24"/>
          <w:u w:val="thick" w:color="000000"/>
        </w:rPr>
        <w:t>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J.)</w:t>
      </w:r>
    </w:p>
    <w:p w:rsidR="001C11FD" w:rsidRPr="007E7773" w:rsidRDefault="001C11FD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71"/>
        <w:ind w:left="3075" w:right="2539"/>
        <w:jc w:val="center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t>dated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</w:t>
      </w:r>
      <w:proofErr w:type="spellStart"/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proofErr w:type="spellEnd"/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day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April,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</w:p>
    <w:p w:rsidR="001C11FD" w:rsidRPr="007E7773" w:rsidRDefault="00953AC6">
      <w:pPr>
        <w:pStyle w:val="BodyText"/>
        <w:spacing w:line="311" w:lineRule="exact"/>
        <w:ind w:left="2299" w:right="1766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  <w:u w:val="thick" w:color="000000"/>
        </w:rPr>
        <w:t>H</w:t>
      </w:r>
      <w:r w:rsidRPr="007E7773">
        <w:rPr>
          <w:rFonts w:ascii="Arial" w:hAnsi="Arial" w:cs="Arial"/>
          <w:sz w:val="24"/>
          <w:szCs w:val="24"/>
          <w:u w:val="thick" w:color="000000"/>
        </w:rPr>
        <w:t>/C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Criminal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S</w:t>
      </w:r>
      <w:r w:rsidRPr="007E7773">
        <w:rPr>
          <w:rFonts w:ascii="Arial" w:hAnsi="Arial" w:cs="Arial"/>
          <w:sz w:val="24"/>
          <w:szCs w:val="24"/>
          <w:u w:val="thick" w:color="000000"/>
        </w:rPr>
        <w:t>es</w:t>
      </w:r>
      <w:r w:rsidRPr="007E7773">
        <w:rPr>
          <w:rFonts w:ascii="Arial" w:hAnsi="Arial" w:cs="Arial"/>
          <w:sz w:val="24"/>
          <w:szCs w:val="24"/>
          <w:u w:val="thick" w:color="000000"/>
        </w:rPr>
        <w:t>s</w:t>
      </w:r>
      <w:r w:rsidRPr="007E7773">
        <w:rPr>
          <w:rFonts w:ascii="Arial" w:hAnsi="Arial" w:cs="Arial"/>
          <w:sz w:val="24"/>
          <w:szCs w:val="24"/>
          <w:u w:val="thick" w:color="000000"/>
        </w:rPr>
        <w:t>ion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C</w:t>
      </w:r>
      <w:r w:rsidRPr="007E7773">
        <w:rPr>
          <w:rFonts w:ascii="Arial" w:hAnsi="Arial" w:cs="Arial"/>
          <w:sz w:val="24"/>
          <w:szCs w:val="24"/>
          <w:u w:val="thick" w:color="000000"/>
        </w:rPr>
        <w:t>a</w:t>
      </w:r>
      <w:r w:rsidRPr="007E7773">
        <w:rPr>
          <w:rFonts w:ascii="Arial" w:hAnsi="Arial" w:cs="Arial"/>
          <w:sz w:val="24"/>
          <w:szCs w:val="24"/>
          <w:u w:val="thick" w:color="000000"/>
        </w:rPr>
        <w:t>se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No.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121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o</w:t>
      </w:r>
      <w:r w:rsidRPr="007E7773">
        <w:rPr>
          <w:rFonts w:ascii="Arial" w:hAnsi="Arial" w:cs="Arial"/>
          <w:sz w:val="24"/>
          <w:szCs w:val="24"/>
          <w:u w:val="thick" w:color="000000"/>
        </w:rPr>
        <w:t>f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2</w:t>
      </w:r>
      <w:r w:rsidRPr="007E7773">
        <w:rPr>
          <w:rFonts w:ascii="Arial" w:hAnsi="Arial" w:cs="Arial"/>
          <w:sz w:val="24"/>
          <w:szCs w:val="24"/>
          <w:u w:val="thick" w:color="000000"/>
        </w:rPr>
        <w:t>0</w:t>
      </w:r>
      <w:r w:rsidRPr="007E7773">
        <w:rPr>
          <w:rFonts w:ascii="Arial" w:hAnsi="Arial" w:cs="Arial"/>
          <w:sz w:val="24"/>
          <w:szCs w:val="24"/>
          <w:u w:val="thick" w:color="000000"/>
        </w:rPr>
        <w:t>06</w:t>
      </w:r>
    </w:p>
    <w:p w:rsidR="001C11FD" w:rsidRPr="007E7773" w:rsidRDefault="00953AC6">
      <w:pPr>
        <w:pStyle w:val="BodyText"/>
        <w:ind w:left="3412" w:right="2877" w:firstLine="1305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……….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JUD</w:t>
      </w:r>
      <w:r w:rsidRPr="007E7773">
        <w:rPr>
          <w:rFonts w:ascii="Arial" w:hAnsi="Arial" w:cs="Arial"/>
          <w:sz w:val="24"/>
          <w:szCs w:val="24"/>
          <w:u w:val="thick" w:color="000000"/>
        </w:rPr>
        <w:t>G</w:t>
      </w:r>
      <w:r w:rsidRPr="007E7773">
        <w:rPr>
          <w:rFonts w:ascii="Arial" w:hAnsi="Arial" w:cs="Arial"/>
          <w:sz w:val="24"/>
          <w:szCs w:val="24"/>
          <w:u w:val="thick" w:color="000000"/>
        </w:rPr>
        <w:t>M</w:t>
      </w:r>
      <w:r w:rsidRPr="007E7773">
        <w:rPr>
          <w:rFonts w:ascii="Arial" w:hAnsi="Arial" w:cs="Arial"/>
          <w:sz w:val="24"/>
          <w:szCs w:val="24"/>
          <w:u w:val="thick" w:color="000000"/>
        </w:rPr>
        <w:t>ENT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OF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T</w:t>
      </w:r>
      <w:r w:rsidRPr="007E7773">
        <w:rPr>
          <w:rFonts w:ascii="Arial" w:hAnsi="Arial" w:cs="Arial"/>
          <w:sz w:val="24"/>
          <w:szCs w:val="24"/>
          <w:u w:val="thick" w:color="000000"/>
        </w:rPr>
        <w:t>H</w:t>
      </w:r>
      <w:r w:rsidRPr="007E7773">
        <w:rPr>
          <w:rFonts w:ascii="Arial" w:hAnsi="Arial" w:cs="Arial"/>
          <w:sz w:val="24"/>
          <w:szCs w:val="24"/>
          <w:u w:val="thick" w:color="000000"/>
        </w:rPr>
        <w:t>E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CO</w:t>
      </w:r>
      <w:r w:rsidRPr="007E7773">
        <w:rPr>
          <w:rFonts w:ascii="Arial" w:hAnsi="Arial" w:cs="Arial"/>
          <w:sz w:val="24"/>
          <w:szCs w:val="24"/>
          <w:u w:val="thick" w:color="000000"/>
        </w:rPr>
        <w:t>U</w:t>
      </w:r>
      <w:r w:rsidRPr="007E7773">
        <w:rPr>
          <w:rFonts w:ascii="Arial" w:hAnsi="Arial" w:cs="Arial"/>
          <w:sz w:val="24"/>
          <w:szCs w:val="24"/>
          <w:u w:val="thick" w:color="000000"/>
        </w:rPr>
        <w:t>R</w:t>
      </w:r>
      <w:r w:rsidRPr="007E7773">
        <w:rPr>
          <w:rFonts w:ascii="Arial" w:hAnsi="Arial" w:cs="Arial"/>
          <w:sz w:val="24"/>
          <w:szCs w:val="24"/>
          <w:u w:val="thick" w:color="000000"/>
        </w:rPr>
        <w:t>T</w:t>
      </w:r>
    </w:p>
    <w:p w:rsidR="001C11FD" w:rsidRPr="007E7773" w:rsidRDefault="001C11FD">
      <w:pPr>
        <w:spacing w:before="4" w:line="12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before="71"/>
        <w:ind w:left="111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11</w:t>
      </w:r>
      <w:proofErr w:type="spellStart"/>
      <w:r w:rsidRPr="007E7773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&amp;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19</w:t>
      </w:r>
      <w:proofErr w:type="spellStart"/>
      <w:r w:rsidRPr="007E7773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ctober,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2016</w:t>
      </w:r>
    </w:p>
    <w:p w:rsidR="001C11FD" w:rsidRPr="007E7773" w:rsidRDefault="001C11FD">
      <w:pPr>
        <w:spacing w:before="8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  <w:u w:val="thick" w:color="000000"/>
        </w:rPr>
        <w:t>R</w:t>
      </w:r>
      <w:r w:rsidRPr="007E7773">
        <w:rPr>
          <w:rFonts w:ascii="Arial" w:hAnsi="Arial" w:cs="Arial"/>
          <w:sz w:val="24"/>
          <w:szCs w:val="24"/>
          <w:u w:val="thick" w:color="000000"/>
        </w:rPr>
        <w:t>UT</w:t>
      </w:r>
      <w:r w:rsidRPr="007E7773">
        <w:rPr>
          <w:rFonts w:ascii="Arial" w:hAnsi="Arial" w:cs="Arial"/>
          <w:sz w:val="24"/>
          <w:szCs w:val="24"/>
          <w:u w:val="thick" w:color="000000"/>
        </w:rPr>
        <w:t>A</w:t>
      </w:r>
      <w:r w:rsidRPr="007E7773">
        <w:rPr>
          <w:rFonts w:ascii="Arial" w:hAnsi="Arial" w:cs="Arial"/>
          <w:sz w:val="24"/>
          <w:szCs w:val="24"/>
          <w:u w:val="thick" w:color="000000"/>
        </w:rPr>
        <w:t>KAN</w:t>
      </w:r>
      <w:r w:rsidRPr="007E7773">
        <w:rPr>
          <w:rFonts w:ascii="Arial" w:hAnsi="Arial" w:cs="Arial"/>
          <w:sz w:val="24"/>
          <w:szCs w:val="24"/>
          <w:u w:val="thick" w:color="000000"/>
        </w:rPr>
        <w:t>G</w:t>
      </w:r>
      <w:r w:rsidRPr="007E7773">
        <w:rPr>
          <w:rFonts w:ascii="Arial" w:hAnsi="Arial" w:cs="Arial"/>
          <w:sz w:val="24"/>
          <w:szCs w:val="24"/>
          <w:u w:val="thick" w:color="000000"/>
        </w:rPr>
        <w:t>W</w:t>
      </w:r>
      <w:r w:rsidRPr="007E7773">
        <w:rPr>
          <w:rFonts w:ascii="Arial" w:hAnsi="Arial" w:cs="Arial"/>
          <w:sz w:val="24"/>
          <w:szCs w:val="24"/>
          <w:u w:val="thick" w:color="000000"/>
        </w:rPr>
        <w:t>A,</w:t>
      </w:r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7E7773">
        <w:rPr>
          <w:rFonts w:ascii="Arial" w:hAnsi="Arial" w:cs="Arial"/>
          <w:sz w:val="24"/>
          <w:szCs w:val="24"/>
          <w:u w:val="thick" w:color="000000"/>
        </w:rPr>
        <w:t>J.A</w:t>
      </w:r>
      <w:r w:rsidRPr="007E7773">
        <w:rPr>
          <w:rFonts w:ascii="Arial" w:hAnsi="Arial" w:cs="Arial"/>
          <w:sz w:val="24"/>
          <w:szCs w:val="24"/>
          <w:u w:val="thick" w:color="000000"/>
        </w:rPr>
        <w:t>.</w:t>
      </w:r>
      <w:r w:rsidRPr="007E7773">
        <w:rPr>
          <w:rFonts w:ascii="Arial" w:hAnsi="Arial" w:cs="Arial"/>
          <w:sz w:val="24"/>
          <w:szCs w:val="24"/>
          <w:u w:val="thick" w:color="000000"/>
        </w:rPr>
        <w:t>:</w:t>
      </w:r>
    </w:p>
    <w:p w:rsidR="001C11FD" w:rsidRPr="007E7773" w:rsidRDefault="001C11FD">
      <w:pPr>
        <w:spacing w:before="10"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 w:line="465" w:lineRule="auto"/>
        <w:ind w:right="110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Juma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ula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@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hacha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ichere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arrai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High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sitting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wanza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Court”)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Regu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@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mo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ni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6</w:t>
      </w:r>
      <w:proofErr w:type="spellStart"/>
      <w:r w:rsidRPr="007E7773">
        <w:rPr>
          <w:rFonts w:ascii="Arial" w:hAnsi="Arial" w:cs="Arial"/>
          <w:sz w:val="24"/>
          <w:szCs w:val="24"/>
        </w:rPr>
        <w:t>th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March,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0</w:t>
      </w:r>
      <w:r w:rsidRPr="007E7773">
        <w:rPr>
          <w:rFonts w:ascii="Arial" w:hAnsi="Arial" w:cs="Arial"/>
          <w:sz w:val="24"/>
          <w:szCs w:val="24"/>
        </w:rPr>
        <w:t>0</w:t>
      </w:r>
      <w:r w:rsidRPr="007E7773">
        <w:rPr>
          <w:rFonts w:ascii="Arial" w:hAnsi="Arial" w:cs="Arial"/>
          <w:sz w:val="24"/>
          <w:szCs w:val="24"/>
        </w:rPr>
        <w:t>4,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Juma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sland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Victoria.</w:t>
      </w:r>
    </w:p>
    <w:p w:rsidR="001C11FD" w:rsidRPr="007E7773" w:rsidRDefault="00953AC6">
      <w:pPr>
        <w:pStyle w:val="BodyText"/>
        <w:spacing w:before="17" w:line="480" w:lineRule="auto"/>
        <w:ind w:right="106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rsons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arge.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prosecution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seven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charge.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es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wa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Mag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ri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3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Bazi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obe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4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115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S/Sgt.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sante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9792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D/Sg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Chr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sostom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3485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Cpl.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ichi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7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ekela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Nyaki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oto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1C11FD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footerReference w:type="default" r:id="rId7"/>
          <w:type w:val="continuous"/>
          <w:pgSz w:w="12240" w:h="15840"/>
          <w:pgMar w:top="580" w:right="1420" w:bottom="1200" w:left="1060" w:header="720" w:footer="1015" w:gutter="0"/>
          <w:pgNumType w:start="1"/>
          <w:cols w:space="720"/>
        </w:sectPr>
      </w:pPr>
    </w:p>
    <w:p w:rsidR="001C11FD" w:rsidRPr="007E7773" w:rsidRDefault="00953AC6">
      <w:pPr>
        <w:pStyle w:val="BodyText"/>
        <w:spacing w:before="50" w:line="479" w:lineRule="auto"/>
        <w:ind w:right="109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Mar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2004,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ving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Juma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ea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ning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ving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siness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ish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iness,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ats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act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ishing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deceased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Mayengo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son.</w:t>
      </w:r>
    </w:p>
    <w:p w:rsidR="001C11FD" w:rsidRPr="007E7773" w:rsidRDefault="00953AC6">
      <w:pPr>
        <w:pStyle w:val="BodyText"/>
        <w:spacing w:before="49" w:line="480" w:lineRule="auto"/>
        <w:ind w:right="106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ate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ght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hermen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ats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itted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ard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HP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Yamaha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serial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509186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Ihon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Charles,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ssued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engine’s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eipt.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However, 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receipt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1557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5/5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>9</w:t>
      </w:r>
      <w:r w:rsidRPr="007E7773">
        <w:rPr>
          <w:rFonts w:ascii="Arial" w:hAnsi="Arial" w:cs="Arial"/>
          <w:sz w:val="24"/>
          <w:szCs w:val="24"/>
        </w:rPr>
        <w:t>98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endered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P1,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name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ff</w:t>
      </w:r>
      <w:r w:rsidRPr="007E7773">
        <w:rPr>
          <w:rFonts w:ascii="Arial" w:hAnsi="Arial" w:cs="Arial"/>
          <w:sz w:val="24"/>
          <w:szCs w:val="24"/>
        </w:rPr>
        <w:t>erent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hermen,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ccording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retu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scheduled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time.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prehension,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ities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scl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search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ish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rm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However,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due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course,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son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brought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ishermen.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tid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ngs.</w:t>
      </w:r>
    </w:p>
    <w:p w:rsidR="001C11FD" w:rsidRPr="007E7773" w:rsidRDefault="001C11FD">
      <w:pPr>
        <w:spacing w:before="5" w:line="14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Gi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son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reported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ishing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dur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gh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ort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hands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rates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physical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assaulted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but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bed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worse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till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rew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yenga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lake,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drow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Mwita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son,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iden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ifi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rob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ers.</w:t>
      </w:r>
    </w:p>
    <w:p w:rsidR="001C11FD" w:rsidRPr="007E7773" w:rsidRDefault="00953AC6" w:rsidP="007E7773">
      <w:pPr>
        <w:pStyle w:val="BodyText"/>
        <w:spacing w:before="19" w:line="459" w:lineRule="auto"/>
        <w:ind w:right="112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26</w:t>
      </w:r>
      <w:proofErr w:type="spellStart"/>
      <w:r w:rsidRPr="007E7773">
        <w:rPr>
          <w:rFonts w:ascii="Arial" w:hAnsi="Arial" w:cs="Arial"/>
          <w:sz w:val="24"/>
          <w:szCs w:val="24"/>
        </w:rPr>
        <w:t>th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Mar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</w:t>
      </w:r>
      <w:r w:rsidRPr="007E7773">
        <w:rPr>
          <w:rFonts w:ascii="Arial" w:hAnsi="Arial" w:cs="Arial"/>
          <w:sz w:val="24"/>
          <w:szCs w:val="24"/>
        </w:rPr>
        <w:t>4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ormed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recovered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ngu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Pol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Stati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atun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ur</w:t>
      </w:r>
      <w:r w:rsidRPr="007E7773">
        <w:rPr>
          <w:rFonts w:ascii="Arial" w:hAnsi="Arial" w:cs="Arial"/>
          <w:sz w:val="24"/>
          <w:szCs w:val="24"/>
        </w:rPr>
        <w:t>u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 he 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leged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ositi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ely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entified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earlier 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bed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oat engine.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ithout</w:t>
      </w:r>
    </w:p>
    <w:p w:rsidR="001C11FD" w:rsidRPr="007E7773" w:rsidRDefault="001C11FD">
      <w:pPr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80" w:right="142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75" w:lineRule="auto"/>
        <w:ind w:right="387"/>
        <w:jc w:val="both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lastRenderedPageBreak/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owing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ne’s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erial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umber,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brand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nam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ifying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ark,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record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eed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ows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15,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after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“lo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king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>”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accepted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signi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icantl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cros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-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exam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elwa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ocate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for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Juma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Sabu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953AC6" w:rsidP="007E7773">
      <w:pPr>
        <w:pStyle w:val="Heading1"/>
        <w:spacing w:line="321" w:lineRule="exac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urt.”</w:t>
      </w:r>
    </w:p>
    <w:p w:rsidR="001C11FD" w:rsidRPr="007E7773" w:rsidRDefault="001C11FD">
      <w:pPr>
        <w:spacing w:before="9" w:line="15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hermore,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responding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questi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put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:-</w:t>
      </w:r>
    </w:p>
    <w:p w:rsidR="001C11FD" w:rsidRPr="007E7773" w:rsidRDefault="00953AC6">
      <w:pPr>
        <w:pStyle w:val="Heading1"/>
        <w:spacing w:line="313" w:lineRule="exac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hib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2.</w:t>
      </w:r>
    </w:p>
    <w:p w:rsidR="001C11FD" w:rsidRPr="007E7773" w:rsidRDefault="001C11F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line="461" w:lineRule="auto"/>
        <w:ind w:left="1551" w:right="1565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nt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ce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ate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No.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so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</w:t>
      </w:r>
      <w:r w:rsidRPr="007E7773">
        <w:rPr>
          <w:rFonts w:ascii="Arial" w:eastAsia="Tahoma" w:hAnsi="Arial" w:cs="Arial"/>
          <w:sz w:val="24"/>
          <w:szCs w:val="24"/>
        </w:rPr>
        <w:t>e…</w:t>
      </w:r>
      <w:r w:rsidRPr="007E7773">
        <w:rPr>
          <w:rFonts w:ascii="Arial" w:eastAsia="Tahoma" w:hAnsi="Arial" w:cs="Arial"/>
          <w:sz w:val="24"/>
          <w:szCs w:val="24"/>
        </w:rPr>
        <w:t>”</w:t>
      </w:r>
    </w:p>
    <w:p w:rsidR="001C11FD" w:rsidRPr="007E7773" w:rsidRDefault="00953AC6">
      <w:pPr>
        <w:pStyle w:val="BodyText"/>
        <w:spacing w:before="60" w:line="480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7E7773">
        <w:rPr>
          <w:rFonts w:ascii="Arial" w:hAnsi="Arial" w:cs="Arial"/>
          <w:sz w:val="24"/>
          <w:szCs w:val="24"/>
        </w:rPr>
        <w:t>Mag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3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Mko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 testified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hey 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neart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hid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handed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ice.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present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indee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notewort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nes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d</w:t>
      </w:r>
      <w:r w:rsidRPr="007E7773">
        <w:rPr>
          <w:rFonts w:ascii="Arial" w:hAnsi="Arial" w:cs="Arial"/>
          <w:sz w:val="24"/>
          <w:szCs w:val="24"/>
        </w:rPr>
        <w:t>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entify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recove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eir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incri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inate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ell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>
      <w:pPr>
        <w:pStyle w:val="BodyText"/>
        <w:spacing w:before="47" w:line="463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4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115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Sgt.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sante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related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ody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eased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egu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6</w:t>
      </w:r>
      <w:proofErr w:type="spellStart"/>
      <w:r w:rsidRPr="007E7773">
        <w:rPr>
          <w:rFonts w:ascii="Arial" w:hAnsi="Arial" w:cs="Arial"/>
          <w:sz w:val="24"/>
          <w:szCs w:val="24"/>
        </w:rPr>
        <w:t>th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May,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004,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7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ekela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Nyakiroto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performed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-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rtem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exam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ause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evere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y”.</w:t>
      </w:r>
    </w:p>
    <w:p w:rsidR="001C11FD" w:rsidRPr="007E7773" w:rsidRDefault="001C11FD">
      <w:pPr>
        <w:spacing w:line="463" w:lineRule="auto"/>
        <w:jc w:val="both"/>
        <w:rPr>
          <w:rFonts w:ascii="Arial" w:eastAsia="Tahoma" w:hAnsi="Arial" w:cs="Arial"/>
          <w:sz w:val="24"/>
          <w:szCs w:val="24"/>
        </w:rPr>
        <w:sectPr w:rsidR="001C11FD" w:rsidRPr="007E7773">
          <w:footerReference w:type="default" r:id="rId8"/>
          <w:pgSz w:w="12240" w:h="15840"/>
          <w:pgMar w:top="58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79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Aga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esses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>
      <w:pPr>
        <w:pStyle w:val="BodyText"/>
        <w:spacing w:before="98"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rently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mning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9792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Sgt.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Chrisostom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witne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ell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ss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lved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leged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essional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statement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hib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3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P3485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>ia</w:t>
      </w:r>
      <w:r w:rsidRPr="007E7773">
        <w:rPr>
          <w:rFonts w:ascii="Arial" w:hAnsi="Arial" w:cs="Arial"/>
          <w:sz w:val="24"/>
          <w:szCs w:val="24"/>
        </w:rPr>
        <w:t>ichi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entical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evidence.</w:t>
      </w:r>
    </w:p>
    <w:p w:rsidR="001C11FD" w:rsidRPr="007E7773" w:rsidRDefault="00953AC6">
      <w:pPr>
        <w:pStyle w:val="BodyText"/>
        <w:spacing w:line="313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ough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/Cp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>ia</w:t>
      </w:r>
      <w:r w:rsidRPr="007E7773">
        <w:rPr>
          <w:rFonts w:ascii="Arial" w:hAnsi="Arial" w:cs="Arial"/>
          <w:sz w:val="24"/>
          <w:szCs w:val="24"/>
        </w:rPr>
        <w:t>ichi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testified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en</w:t>
      </w:r>
    </w:p>
    <w:p w:rsidR="001C11FD" w:rsidRPr="007E7773" w:rsidRDefault="001C11FD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t>engines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leged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covered,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entify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5 D/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risostom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rega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signi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icant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ertion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953AC6">
      <w:pPr>
        <w:pStyle w:val="Heading1"/>
        <w:spacing w:line="315" w:lineRule="exac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“I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kn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stati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</w:p>
    <w:p w:rsidR="001C11FD" w:rsidRPr="007E7773" w:rsidRDefault="001C11F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line="463" w:lineRule="auto"/>
        <w:ind w:left="1551" w:right="1557"/>
        <w:rPr>
          <w:rFonts w:ascii="Arial" w:eastAsia="Tahoma" w:hAnsi="Arial" w:cs="Arial"/>
          <w:sz w:val="24"/>
          <w:szCs w:val="24"/>
        </w:rPr>
      </w:pPr>
      <w:proofErr w:type="gramStart"/>
      <w:r w:rsidRPr="007E7773">
        <w:rPr>
          <w:rFonts w:ascii="Arial" w:eastAsia="Tahoma" w:hAnsi="Arial" w:cs="Arial"/>
          <w:sz w:val="24"/>
          <w:szCs w:val="24"/>
        </w:rPr>
        <w:t>write</w:t>
      </w:r>
      <w:proofErr w:type="gram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stateme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t. PW1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did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identify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stolen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engine.”</w:t>
      </w:r>
    </w:p>
    <w:p w:rsidR="001C11FD" w:rsidRPr="007E7773" w:rsidRDefault="00953AC6">
      <w:pPr>
        <w:pStyle w:val="BodyText"/>
        <w:spacing w:before="7"/>
        <w:ind w:left="155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[</w:t>
      </w:r>
      <w:r w:rsidRPr="007E7773">
        <w:rPr>
          <w:rFonts w:ascii="Arial" w:hAnsi="Arial" w:cs="Arial"/>
          <w:sz w:val="24"/>
          <w:szCs w:val="24"/>
        </w:rPr>
        <w:t>Em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hasis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]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1C11FD">
      <w:pPr>
        <w:spacing w:before="3" w:line="16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eir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sworn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city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rob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Mayenga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ell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categorical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lun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rily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essed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nyb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nga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>
      <w:pPr>
        <w:pStyle w:val="BodyText"/>
        <w:spacing w:before="47" w:line="480" w:lineRule="auto"/>
        <w:ind w:right="117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After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ela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orate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up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nim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eq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ivocal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her</w:t>
      </w:r>
      <w:r w:rsidRPr="007E7773">
        <w:rPr>
          <w:rFonts w:ascii="Arial" w:hAnsi="Arial" w:cs="Arial"/>
          <w:sz w:val="24"/>
          <w:szCs w:val="24"/>
        </w:rPr>
        <w:t>/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own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tori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required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section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98(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</w:p>
    <w:p w:rsidR="001C11FD" w:rsidRPr="007E7773" w:rsidRDefault="001C11FD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footerReference w:type="default" r:id="rId9"/>
          <w:pgSz w:w="12240" w:h="15840"/>
          <w:pgMar w:top="580" w:right="1140" w:bottom="1780" w:left="1060" w:header="0" w:footer="1590" w:gutter="0"/>
          <w:pgNumType w:start="4"/>
          <w:cols w:space="720"/>
        </w:sectPr>
      </w:pPr>
    </w:p>
    <w:p w:rsidR="001C11FD" w:rsidRPr="007E7773" w:rsidRDefault="00953AC6">
      <w:pPr>
        <w:pStyle w:val="BodyText"/>
        <w:spacing w:before="50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Heading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“1.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  <w:u w:val="thick" w:color="000000"/>
        </w:rPr>
        <w:t>H</w:t>
      </w:r>
      <w:r w:rsidRPr="007E7773">
        <w:rPr>
          <w:rFonts w:ascii="Arial" w:hAnsi="Arial" w:cs="Arial"/>
          <w:sz w:val="24"/>
          <w:szCs w:val="24"/>
          <w:u w:val="thick" w:color="000000"/>
        </w:rPr>
        <w:t>awa</w:t>
      </w:r>
      <w:proofErr w:type="spellEnd"/>
      <w:r w:rsidRPr="007E7773">
        <w:rPr>
          <w:rFonts w:ascii="Arial" w:hAnsi="Arial" w:cs="Arial"/>
          <w:sz w:val="24"/>
          <w:szCs w:val="24"/>
          <w:u w:val="thick" w:color="000000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  <w:u w:val="thick" w:color="000000"/>
        </w:rPr>
        <w:t>S</w:t>
      </w:r>
      <w:r w:rsidRPr="007E7773">
        <w:rPr>
          <w:rFonts w:ascii="Arial" w:hAnsi="Arial" w:cs="Arial"/>
          <w:sz w:val="24"/>
          <w:szCs w:val="24"/>
          <w:u w:val="thick" w:color="000000"/>
        </w:rPr>
        <w:t>wedi</w:t>
      </w:r>
      <w:proofErr w:type="spellEnd"/>
      <w:r w:rsidRPr="007E7773">
        <w:rPr>
          <w:rFonts w:ascii="Arial" w:hAnsi="Arial" w:cs="Arial"/>
          <w:sz w:val="24"/>
          <w:szCs w:val="24"/>
          <w:u w:val="thick" w:color="000000"/>
        </w:rPr>
        <w:t>:</w:t>
      </w:r>
    </w:p>
    <w:p w:rsidR="001C11FD" w:rsidRPr="007E7773" w:rsidRDefault="001C11FD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before="56" w:line="462" w:lineRule="auto"/>
        <w:ind w:left="1911" w:right="1560"/>
        <w:jc w:val="both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my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op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nion,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rst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uilty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murder.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rom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ou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wi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engine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but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ki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deceased.</w:t>
      </w:r>
    </w:p>
    <w:p w:rsidR="001C11FD" w:rsidRPr="007E7773" w:rsidRDefault="00953AC6">
      <w:pPr>
        <w:spacing w:line="325" w:lineRule="exact"/>
        <w:ind w:left="2257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regard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seco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gui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</w:p>
    <w:p w:rsidR="001C11FD" w:rsidRPr="007E7773" w:rsidRDefault="001C11F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line="461" w:lineRule="auto"/>
        <w:ind w:left="1911" w:right="1563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proofErr w:type="gram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charged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evi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icate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charged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ff</w:t>
      </w:r>
      <w:r w:rsidRPr="007E7773">
        <w:rPr>
          <w:rFonts w:ascii="Arial" w:eastAsia="Tahoma" w:hAnsi="Arial" w:cs="Arial"/>
          <w:sz w:val="24"/>
          <w:szCs w:val="24"/>
        </w:rPr>
        <w:t>ence.</w:t>
      </w:r>
    </w:p>
    <w:p w:rsidR="001C11FD" w:rsidRPr="007E7773" w:rsidRDefault="00953AC6">
      <w:pPr>
        <w:spacing w:before="1"/>
        <w:ind w:left="1551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1.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eastAsia="Tahoma" w:hAnsi="Arial" w:cs="Arial"/>
          <w:sz w:val="24"/>
          <w:szCs w:val="24"/>
          <w:u w:val="thick" w:color="000000"/>
        </w:rPr>
        <w:t>S</w:t>
      </w:r>
      <w:r w:rsidRPr="007E7773">
        <w:rPr>
          <w:rFonts w:ascii="Arial" w:eastAsia="Tahoma" w:hAnsi="Arial" w:cs="Arial"/>
          <w:sz w:val="24"/>
          <w:szCs w:val="24"/>
          <w:u w:val="thick" w:color="000000"/>
        </w:rPr>
        <w:t>ospeter</w:t>
      </w:r>
      <w:proofErr w:type="spellEnd"/>
      <w:r w:rsidRPr="007E7773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proofErr w:type="spellStart"/>
      <w:r w:rsidRPr="007E7773">
        <w:rPr>
          <w:rFonts w:ascii="Arial" w:eastAsia="Tahoma" w:hAnsi="Arial" w:cs="Arial"/>
          <w:sz w:val="24"/>
          <w:szCs w:val="24"/>
          <w:u w:val="thick" w:color="000000"/>
        </w:rPr>
        <w:t>M</w:t>
      </w:r>
      <w:r w:rsidRPr="007E7773">
        <w:rPr>
          <w:rFonts w:ascii="Arial" w:eastAsia="Tahoma" w:hAnsi="Arial" w:cs="Arial"/>
          <w:sz w:val="24"/>
          <w:szCs w:val="24"/>
          <w:u w:val="thick" w:color="000000"/>
        </w:rPr>
        <w:t>ukanz</w:t>
      </w:r>
      <w:r w:rsidRPr="007E7773">
        <w:rPr>
          <w:rFonts w:ascii="Arial" w:eastAsia="Tahoma" w:hAnsi="Arial" w:cs="Arial"/>
          <w:sz w:val="24"/>
          <w:szCs w:val="24"/>
          <w:u w:val="thick" w:color="000000"/>
        </w:rPr>
        <w:t>a</w:t>
      </w:r>
      <w:proofErr w:type="spellEnd"/>
      <w:r w:rsidRPr="007E7773">
        <w:rPr>
          <w:rFonts w:ascii="Arial" w:eastAsia="Tahoma" w:hAnsi="Arial" w:cs="Arial"/>
          <w:sz w:val="24"/>
          <w:szCs w:val="24"/>
          <w:u w:val="thick" w:color="000000"/>
        </w:rPr>
        <w:t>:</w:t>
      </w:r>
    </w:p>
    <w:p w:rsidR="001C11FD" w:rsidRPr="007E7773" w:rsidRDefault="001C11FD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before="56" w:line="462" w:lineRule="auto"/>
        <w:ind w:left="1911" w:right="1556"/>
        <w:jc w:val="both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Upon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hav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rd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evi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rom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pros.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evi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ta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sh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kill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becau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occurred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ni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.</w:t>
      </w:r>
    </w:p>
    <w:p w:rsidR="001C11FD" w:rsidRPr="007E7773" w:rsidRDefault="00953AC6">
      <w:pPr>
        <w:spacing w:before="1" w:line="461" w:lineRule="auto"/>
        <w:ind w:left="1911" w:right="1560" w:firstLine="360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ch,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pray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th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acq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itted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set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berty</w:t>
      </w:r>
      <w:r w:rsidRPr="007E7773">
        <w:rPr>
          <w:rFonts w:ascii="Arial" w:eastAsia="Tahoma" w:hAnsi="Arial" w:cs="Arial"/>
          <w:sz w:val="24"/>
          <w:szCs w:val="24"/>
        </w:rPr>
        <w:t>.</w:t>
      </w:r>
      <w:r w:rsidRPr="007E7773">
        <w:rPr>
          <w:rFonts w:ascii="Arial" w:eastAsia="Tahoma" w:hAnsi="Arial" w:cs="Arial"/>
          <w:sz w:val="24"/>
          <w:szCs w:val="24"/>
        </w:rPr>
        <w:t>”</w:t>
      </w:r>
    </w:p>
    <w:p w:rsidR="001C11FD" w:rsidRPr="007E7773" w:rsidRDefault="001C11FD">
      <w:pPr>
        <w:spacing w:before="8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Juma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Sabu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@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Cha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/o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ichore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uilty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acquitted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Howeve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nvinced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uilt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notwit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standing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ani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verdict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rary.</w:t>
      </w:r>
    </w:p>
    <w:p w:rsidR="001C11FD" w:rsidRPr="007E7773" w:rsidRDefault="00953AC6">
      <w:pPr>
        <w:pStyle w:val="BodyText"/>
        <w:spacing w:before="47" w:line="480" w:lineRule="auto"/>
        <w:ind w:right="124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taken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gui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verdict,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q</w:t>
      </w:r>
      <w:r w:rsidRPr="007E7773">
        <w:rPr>
          <w:rFonts w:ascii="Arial" w:hAnsi="Arial" w:cs="Arial"/>
          <w:sz w:val="24"/>
          <w:szCs w:val="24"/>
        </w:rPr>
        <w:t>ue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uous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one.</w:t>
      </w:r>
    </w:p>
    <w:p w:rsidR="001C11FD" w:rsidRPr="007E7773" w:rsidRDefault="00953AC6">
      <w:pPr>
        <w:pStyle w:val="BodyText"/>
        <w:spacing w:before="45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partly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reas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ows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rPr>
          <w:rFonts w:ascii="Arial" w:hAnsi="Arial" w:cs="Arial"/>
          <w:sz w:val="24"/>
          <w:szCs w:val="24"/>
        </w:rPr>
        <w:sectPr w:rsidR="001C11FD" w:rsidRPr="007E7773">
          <w:footerReference w:type="default" r:id="rId10"/>
          <w:pgSz w:w="12240" w:h="15840"/>
          <w:pgMar w:top="580" w:right="1140" w:bottom="1200" w:left="1060" w:header="0" w:footer="1015" w:gutter="0"/>
          <w:pgNumType w:start="5"/>
          <w:cols w:space="720"/>
        </w:sectPr>
      </w:pPr>
    </w:p>
    <w:p w:rsidR="001C11FD" w:rsidRPr="007E7773" w:rsidRDefault="00953AC6">
      <w:pPr>
        <w:pStyle w:val="Heading1"/>
        <w:spacing w:before="60" w:line="462" w:lineRule="auto"/>
        <w:ind w:left="891" w:right="977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regards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irst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itt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Attorney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Tibi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engwa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upon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prosecution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ff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oc</w:t>
      </w:r>
      <w:r w:rsidRPr="007E7773">
        <w:rPr>
          <w:rFonts w:ascii="Arial" w:hAnsi="Arial" w:cs="Arial"/>
          <w:sz w:val="24"/>
          <w:szCs w:val="24"/>
        </w:rPr>
        <w:t>trine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cent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property.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property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leged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os</w:t>
      </w:r>
      <w:r w:rsidRPr="007E7773">
        <w:rPr>
          <w:rFonts w:ascii="Arial" w:hAnsi="Arial" w:cs="Arial"/>
          <w:sz w:val="24"/>
          <w:szCs w:val="24"/>
        </w:rPr>
        <w:t>sessi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rob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ate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night.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resolve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her,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tendered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P1,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icien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entified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ession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eceased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death.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ificat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efore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tendered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hib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ering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receipt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purchase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convinces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hold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rob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deceased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tendered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Court.</w:t>
      </w:r>
    </w:p>
    <w:p w:rsidR="001C11FD" w:rsidRPr="007E7773" w:rsidRDefault="00953AC6" w:rsidP="007E7773">
      <w:pPr>
        <w:tabs>
          <w:tab w:val="left" w:pos="2252"/>
          <w:tab w:val="left" w:pos="3787"/>
          <w:tab w:val="left" w:pos="4984"/>
          <w:tab w:val="left" w:pos="5742"/>
          <w:tab w:val="left" w:pos="6335"/>
          <w:tab w:val="left" w:pos="7644"/>
        </w:tabs>
        <w:spacing w:line="325" w:lineRule="exact"/>
        <w:ind w:left="1597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bse</w:t>
      </w:r>
      <w:r w:rsidRPr="007E7773">
        <w:rPr>
          <w:rFonts w:ascii="Arial" w:eastAsia="Tahoma" w:hAnsi="Arial" w:cs="Arial"/>
          <w:sz w:val="24"/>
          <w:szCs w:val="24"/>
        </w:rPr>
        <w:t>q</w:t>
      </w:r>
      <w:r w:rsidRPr="007E7773">
        <w:rPr>
          <w:rFonts w:ascii="Arial" w:eastAsia="Tahoma" w:hAnsi="Arial" w:cs="Arial"/>
          <w:sz w:val="24"/>
          <w:szCs w:val="24"/>
        </w:rPr>
        <w:t>ue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q</w:t>
      </w:r>
      <w:r w:rsidRPr="007E7773">
        <w:rPr>
          <w:rFonts w:ascii="Arial" w:eastAsia="Tahoma" w:hAnsi="Arial" w:cs="Arial"/>
          <w:sz w:val="24"/>
          <w:szCs w:val="24"/>
        </w:rPr>
        <w:t>uestion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rom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="007E7773">
        <w:rPr>
          <w:rFonts w:ascii="Arial" w:eastAsia="Tahoma" w:hAnsi="Arial" w:cs="Arial"/>
          <w:sz w:val="24"/>
          <w:szCs w:val="24"/>
        </w:rPr>
        <w:t xml:space="preserve">oregoing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said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x</w:t>
      </w:r>
      <w:r w:rsidRPr="007E7773">
        <w:rPr>
          <w:rFonts w:ascii="Arial" w:eastAsia="Tahoma" w:hAnsi="Arial" w:cs="Arial"/>
          <w:sz w:val="24"/>
          <w:szCs w:val="24"/>
        </w:rPr>
        <w:t>hib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P2,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ession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con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enti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ir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ession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leged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engine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hat,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ev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dur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its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recovery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at</w:t>
      </w:r>
    </w:p>
    <w:p w:rsidR="001C11FD" w:rsidRPr="007E7773" w:rsidRDefault="001C11FD">
      <w:pPr>
        <w:spacing w:line="461" w:lineRule="auto"/>
        <w:jc w:val="both"/>
        <w:rPr>
          <w:rFonts w:ascii="Arial" w:eastAsia="Tahoma" w:hAnsi="Arial" w:cs="Arial"/>
          <w:sz w:val="24"/>
          <w:szCs w:val="24"/>
        </w:rPr>
        <w:sectPr w:rsidR="001C11FD" w:rsidRPr="007E7773">
          <w:pgSz w:w="12240" w:h="15840"/>
          <w:pgMar w:top="560" w:right="1720" w:bottom="1200" w:left="1720" w:header="0" w:footer="1015" w:gutter="0"/>
          <w:cols w:space="720"/>
        </w:sectPr>
      </w:pPr>
    </w:p>
    <w:p w:rsidR="001C11FD" w:rsidRPr="007E7773" w:rsidRDefault="00953AC6">
      <w:pPr>
        <w:spacing w:before="60" w:line="462" w:lineRule="auto"/>
        <w:ind w:left="1551" w:right="1533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7E7773">
        <w:rPr>
          <w:rFonts w:ascii="Arial" w:eastAsia="Tahoma" w:hAnsi="Arial" w:cs="Arial"/>
          <w:sz w:val="24"/>
          <w:szCs w:val="24"/>
        </w:rPr>
        <w:lastRenderedPageBreak/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ere</w:t>
      </w:r>
      <w:proofErr w:type="gram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urie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>v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lved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anyway.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hand,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have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testimonies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2,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3,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5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6,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ich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v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Court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were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led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irst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om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Pol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eastAsia="Tahoma" w:hAnsi="Arial" w:cs="Arial"/>
          <w:sz w:val="24"/>
          <w:szCs w:val="24"/>
        </w:rPr>
        <w:t>K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gu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u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ace,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wo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engines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were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earthed.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Upon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spas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nately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observing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eir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testimonies,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have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led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li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er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hould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ubt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eir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testim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nies.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us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convinced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irst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ena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led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recovery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x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P2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engine,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th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ich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uried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der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ou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d.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Under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circumstances,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octrine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being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ound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sion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recently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stolen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terms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hold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case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Paulo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aduka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(</w:t>
      </w:r>
      <w:r w:rsidRPr="007E7773">
        <w:rPr>
          <w:rFonts w:ascii="Arial" w:eastAsia="Tahoma" w:hAnsi="Arial" w:cs="Arial"/>
          <w:sz w:val="24"/>
          <w:szCs w:val="24"/>
        </w:rPr>
        <w:t>supra)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properly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invo</w:t>
      </w:r>
      <w:r w:rsidRPr="007E7773">
        <w:rPr>
          <w:rFonts w:ascii="Arial" w:eastAsia="Tahoma" w:hAnsi="Arial" w:cs="Arial"/>
          <w:sz w:val="24"/>
          <w:szCs w:val="24"/>
        </w:rPr>
        <w:t>k</w:t>
      </w:r>
      <w:r w:rsidRPr="007E7773">
        <w:rPr>
          <w:rFonts w:ascii="Arial" w:eastAsia="Tahoma" w:hAnsi="Arial" w:cs="Arial"/>
          <w:sz w:val="24"/>
          <w:szCs w:val="24"/>
        </w:rPr>
        <w:t>ed.”</w:t>
      </w:r>
    </w:p>
    <w:p w:rsidR="001C11FD" w:rsidRPr="007E7773" w:rsidRDefault="00953AC6">
      <w:pPr>
        <w:pStyle w:val="BodyText"/>
        <w:spacing w:before="59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ereafter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comforta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concluded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Heading1"/>
        <w:spacing w:line="462" w:lineRule="auto"/>
        <w:ind w:right="154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le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irst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</w:t>
      </w:r>
      <w:r w:rsidRPr="007E7773">
        <w:rPr>
          <w:rFonts w:ascii="Arial" w:hAnsi="Arial" w:cs="Arial"/>
          <w:sz w:val="24"/>
          <w:szCs w:val="24"/>
        </w:rPr>
        <w:t>cu</w:t>
      </w:r>
      <w:r w:rsidRPr="007E7773">
        <w:rPr>
          <w:rFonts w:ascii="Arial" w:hAnsi="Arial" w:cs="Arial"/>
          <w:sz w:val="24"/>
          <w:szCs w:val="24"/>
        </w:rPr>
        <w:t>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cul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le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ff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according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same.”</w:t>
      </w:r>
    </w:p>
    <w:p w:rsidR="001C11FD" w:rsidRPr="007E7773" w:rsidRDefault="00953AC6">
      <w:pPr>
        <w:pStyle w:val="BodyText"/>
        <w:spacing w:before="58" w:line="480" w:lineRule="auto"/>
        <w:ind w:right="100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Foll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wing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sent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nced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hangin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grieved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sent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nce,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1C11FD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60" w:right="116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6" w:line="480" w:lineRule="auto"/>
        <w:ind w:right="119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represen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tatine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lemwa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cate,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spond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Republ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repres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Mamti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ehewa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Sen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Attorney.</w:t>
      </w:r>
    </w:p>
    <w:p w:rsidR="001C11FD" w:rsidRPr="007E7773" w:rsidRDefault="00953AC6">
      <w:pPr>
        <w:pStyle w:val="BodyText"/>
        <w:spacing w:before="49" w:line="479" w:lineRule="auto"/>
        <w:ind w:right="123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Mr.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emwa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mem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dum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specific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griev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nces.</w:t>
      </w:r>
    </w:p>
    <w:p w:rsidR="001C11FD" w:rsidRPr="007E7773" w:rsidRDefault="00953AC6">
      <w:pPr>
        <w:pStyle w:val="BodyText"/>
        <w:spacing w:before="50" w:line="479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Before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sides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canvass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gr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sel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trained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 ask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dress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 xml:space="preserve">us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irs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, 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ndne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lure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nam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uous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tota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ly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exe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orating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Mayengo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regard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ndat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provisions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6</w:t>
      </w:r>
      <w:r w:rsidRPr="007E7773">
        <w:rPr>
          <w:rFonts w:ascii="Arial" w:hAnsi="Arial" w:cs="Arial"/>
          <w:sz w:val="24"/>
          <w:szCs w:val="24"/>
        </w:rPr>
        <w:t>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298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1)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PA.</w:t>
      </w:r>
    </w:p>
    <w:p w:rsidR="001C11FD" w:rsidRPr="007E7773" w:rsidRDefault="00953AC6">
      <w:pPr>
        <w:pStyle w:val="BodyText"/>
        <w:spacing w:before="49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provisi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CPA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ows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spacing w:before="5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Heading1"/>
        <w:spacing w:line="462" w:lineRule="auto"/>
        <w:ind w:right="1563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“265.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High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inks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 w:rsidP="00C933ED">
      <w:pPr>
        <w:spacing w:line="325" w:lineRule="exact"/>
        <w:ind w:left="1551" w:right="1559"/>
        <w:jc w:val="both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298</w:t>
      </w:r>
      <w:r w:rsidRPr="007E7773">
        <w:rPr>
          <w:rFonts w:ascii="Arial" w:eastAsia="Tahoma" w:hAnsi="Arial" w:cs="Arial"/>
          <w:sz w:val="24"/>
          <w:szCs w:val="24"/>
        </w:rPr>
        <w:t>-(</w:t>
      </w:r>
      <w:r w:rsidRPr="007E7773">
        <w:rPr>
          <w:rFonts w:ascii="Arial" w:eastAsia="Tahoma" w:hAnsi="Arial" w:cs="Arial"/>
          <w:sz w:val="24"/>
          <w:szCs w:val="24"/>
        </w:rPr>
        <w:t>1</w:t>
      </w:r>
      <w:r w:rsidRPr="007E7773">
        <w:rPr>
          <w:rFonts w:ascii="Arial" w:eastAsia="Tahoma" w:hAnsi="Arial" w:cs="Arial"/>
          <w:sz w:val="24"/>
          <w:szCs w:val="24"/>
        </w:rPr>
        <w:t>)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hen</w:t>
      </w:r>
      <w:proofErr w:type="gram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ase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th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sid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closed,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j</w:t>
      </w:r>
      <w:r w:rsidRPr="007E7773">
        <w:rPr>
          <w:rFonts w:ascii="Arial" w:eastAsia="Tahoma" w:hAnsi="Arial" w:cs="Arial"/>
          <w:sz w:val="24"/>
          <w:szCs w:val="24"/>
        </w:rPr>
        <w:t>udge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up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vidence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or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secution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eastAsia="Tahoma" w:hAnsi="Arial" w:cs="Arial"/>
          <w:sz w:val="24"/>
          <w:szCs w:val="24"/>
        </w:rPr>
        <w:t>de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ence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hall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require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each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asse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sors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state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op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nion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oral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case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eneral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specific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questi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act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dressed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j</w:t>
      </w:r>
      <w:r w:rsidRPr="007E7773">
        <w:rPr>
          <w:rFonts w:ascii="Arial" w:eastAsia="Tahoma" w:hAnsi="Arial" w:cs="Arial"/>
          <w:sz w:val="24"/>
          <w:szCs w:val="24"/>
        </w:rPr>
        <w:t>udge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record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op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nion.”</w:t>
      </w:r>
    </w:p>
    <w:p w:rsidR="001C11FD" w:rsidRPr="007E7773" w:rsidRDefault="001C11FD">
      <w:pPr>
        <w:spacing w:line="462" w:lineRule="auto"/>
        <w:jc w:val="both"/>
        <w:rPr>
          <w:rFonts w:ascii="Arial" w:eastAsia="Tahoma" w:hAnsi="Arial" w:cs="Arial"/>
          <w:sz w:val="24"/>
          <w:szCs w:val="24"/>
        </w:rPr>
        <w:sectPr w:rsidR="001C11FD" w:rsidRPr="007E7773">
          <w:pgSz w:w="12240" w:h="15840"/>
          <w:pgMar w:top="120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62" w:line="480" w:lineRule="auto"/>
        <w:ind w:right="117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ndoubted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inv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uab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role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essors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High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ela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orate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exposit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respected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spensable.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harging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od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rul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ears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tice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determ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tled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’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:-</w:t>
      </w:r>
    </w:p>
    <w:p w:rsidR="001C11FD" w:rsidRPr="007E7773" w:rsidRDefault="007E7773" w:rsidP="00C933ED">
      <w:pPr>
        <w:pStyle w:val="Heading1"/>
        <w:tabs>
          <w:tab w:val="left" w:pos="2257"/>
        </w:tabs>
        <w:spacing w:line="314" w:lineRule="exact"/>
        <w:ind w:left="2257" w:hanging="706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(</w:t>
      </w:r>
      <w:proofErr w:type="spellStart"/>
      <w:r w:rsidRPr="007E7773">
        <w:rPr>
          <w:rFonts w:ascii="Arial" w:hAnsi="Arial" w:cs="Arial"/>
          <w:sz w:val="24"/>
          <w:szCs w:val="24"/>
        </w:rPr>
        <w:t>i</w:t>
      </w:r>
      <w:proofErr w:type="spellEnd"/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ab/>
      </w:r>
      <w:r w:rsidR="00953AC6" w:rsidRPr="007E7773">
        <w:rPr>
          <w:rFonts w:ascii="Arial" w:hAnsi="Arial" w:cs="Arial"/>
          <w:sz w:val="24"/>
          <w:szCs w:val="24"/>
        </w:rPr>
        <w:t>W</w:t>
      </w:r>
      <w:r w:rsidR="00953AC6" w:rsidRPr="007E7773">
        <w:rPr>
          <w:rFonts w:ascii="Arial" w:hAnsi="Arial" w:cs="Arial"/>
          <w:sz w:val="24"/>
          <w:szCs w:val="24"/>
        </w:rPr>
        <w:t>here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an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</w:t>
      </w:r>
      <w:r w:rsidR="00953AC6" w:rsidRPr="007E7773">
        <w:rPr>
          <w:rFonts w:ascii="Arial" w:hAnsi="Arial" w:cs="Arial"/>
          <w:sz w:val="24"/>
          <w:szCs w:val="24"/>
        </w:rPr>
        <w:t>s</w:t>
      </w:r>
      <w:r w:rsidR="00953AC6" w:rsidRPr="007E7773">
        <w:rPr>
          <w:rFonts w:ascii="Arial" w:hAnsi="Arial" w:cs="Arial"/>
          <w:sz w:val="24"/>
          <w:szCs w:val="24"/>
        </w:rPr>
        <w:t>se</w:t>
      </w:r>
      <w:r w:rsidR="00953AC6" w:rsidRPr="007E7773">
        <w:rPr>
          <w:rFonts w:ascii="Arial" w:hAnsi="Arial" w:cs="Arial"/>
          <w:sz w:val="24"/>
          <w:szCs w:val="24"/>
        </w:rPr>
        <w:t>s</w:t>
      </w:r>
      <w:r w:rsidR="00953AC6" w:rsidRPr="007E7773">
        <w:rPr>
          <w:rFonts w:ascii="Arial" w:hAnsi="Arial" w:cs="Arial"/>
          <w:sz w:val="24"/>
          <w:szCs w:val="24"/>
        </w:rPr>
        <w:t>sor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w</w:t>
      </w:r>
      <w:r w:rsidR="00953AC6" w:rsidRPr="007E7773">
        <w:rPr>
          <w:rFonts w:ascii="Arial" w:hAnsi="Arial" w:cs="Arial"/>
          <w:sz w:val="24"/>
          <w:szCs w:val="24"/>
        </w:rPr>
        <w:t>ho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has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not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heard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</w:t>
      </w:r>
      <w:r w:rsidR="00953AC6" w:rsidRPr="007E7773">
        <w:rPr>
          <w:rFonts w:ascii="Arial" w:hAnsi="Arial" w:cs="Arial"/>
          <w:sz w:val="24"/>
          <w:szCs w:val="24"/>
        </w:rPr>
        <w:t>ll</w:t>
      </w:r>
      <w:r w:rsidR="00C933ED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t</w:t>
      </w:r>
      <w:r w:rsidR="00953AC6" w:rsidRPr="007E7773">
        <w:rPr>
          <w:rFonts w:ascii="Arial" w:hAnsi="Arial" w:cs="Arial"/>
          <w:sz w:val="24"/>
          <w:szCs w:val="24"/>
        </w:rPr>
        <w:t>h</w:t>
      </w:r>
      <w:r w:rsidR="00953AC6" w:rsidRPr="007E7773">
        <w:rPr>
          <w:rFonts w:ascii="Arial" w:hAnsi="Arial" w:cs="Arial"/>
          <w:sz w:val="24"/>
          <w:szCs w:val="24"/>
        </w:rPr>
        <w:t>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evi</w:t>
      </w:r>
      <w:r w:rsidR="00953AC6" w:rsidRPr="007E7773">
        <w:rPr>
          <w:rFonts w:ascii="Arial" w:hAnsi="Arial" w:cs="Arial"/>
          <w:sz w:val="24"/>
          <w:szCs w:val="24"/>
        </w:rPr>
        <w:t>d</w:t>
      </w:r>
      <w:r w:rsidR="00953AC6" w:rsidRPr="007E7773">
        <w:rPr>
          <w:rFonts w:ascii="Arial" w:hAnsi="Arial" w:cs="Arial"/>
          <w:sz w:val="24"/>
          <w:szCs w:val="24"/>
        </w:rPr>
        <w:t>ence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is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al</w:t>
      </w:r>
      <w:r w:rsidR="00953AC6" w:rsidRPr="007E7773">
        <w:rPr>
          <w:rFonts w:ascii="Arial" w:hAnsi="Arial" w:cs="Arial"/>
          <w:sz w:val="24"/>
          <w:szCs w:val="24"/>
        </w:rPr>
        <w:t>l</w:t>
      </w:r>
      <w:r w:rsidR="00953AC6" w:rsidRPr="007E7773">
        <w:rPr>
          <w:rFonts w:ascii="Arial" w:hAnsi="Arial" w:cs="Arial"/>
          <w:sz w:val="24"/>
          <w:szCs w:val="24"/>
        </w:rPr>
        <w:t>owed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to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g</w:t>
      </w:r>
      <w:r w:rsidR="00953AC6" w:rsidRPr="007E7773">
        <w:rPr>
          <w:rFonts w:ascii="Arial" w:hAnsi="Arial" w:cs="Arial"/>
          <w:sz w:val="24"/>
          <w:szCs w:val="24"/>
        </w:rPr>
        <w:t>i</w:t>
      </w:r>
      <w:r w:rsidR="00953AC6" w:rsidRPr="007E7773">
        <w:rPr>
          <w:rFonts w:ascii="Arial" w:hAnsi="Arial" w:cs="Arial"/>
          <w:sz w:val="24"/>
          <w:szCs w:val="24"/>
        </w:rPr>
        <w:t>ve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an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op</w:t>
      </w:r>
      <w:r w:rsidR="00953AC6" w:rsidRPr="007E7773">
        <w:rPr>
          <w:rFonts w:ascii="Arial" w:hAnsi="Arial" w:cs="Arial"/>
          <w:sz w:val="24"/>
          <w:szCs w:val="24"/>
        </w:rPr>
        <w:t>i</w:t>
      </w:r>
      <w:r w:rsidR="00953AC6" w:rsidRPr="007E7773">
        <w:rPr>
          <w:rFonts w:ascii="Arial" w:hAnsi="Arial" w:cs="Arial"/>
          <w:sz w:val="24"/>
          <w:szCs w:val="24"/>
        </w:rPr>
        <w:t>nion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on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t</w:t>
      </w:r>
      <w:r w:rsidR="00953AC6" w:rsidRPr="007E7773">
        <w:rPr>
          <w:rFonts w:ascii="Arial" w:hAnsi="Arial" w:cs="Arial"/>
          <w:sz w:val="24"/>
          <w:szCs w:val="24"/>
        </w:rPr>
        <w:t>h</w:t>
      </w:r>
      <w:r w:rsidR="00953AC6" w:rsidRPr="007E7773">
        <w:rPr>
          <w:rFonts w:ascii="Arial" w:hAnsi="Arial" w:cs="Arial"/>
          <w:sz w:val="24"/>
          <w:szCs w:val="24"/>
        </w:rPr>
        <w:t>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case,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t</w:t>
      </w:r>
      <w:r w:rsidR="00953AC6" w:rsidRPr="007E7773">
        <w:rPr>
          <w:rFonts w:ascii="Arial" w:hAnsi="Arial" w:cs="Arial"/>
          <w:sz w:val="24"/>
          <w:szCs w:val="24"/>
        </w:rPr>
        <w:t>h</w:t>
      </w:r>
      <w:r w:rsidR="00953AC6" w:rsidRPr="007E7773">
        <w:rPr>
          <w:rFonts w:ascii="Arial" w:hAnsi="Arial" w:cs="Arial"/>
          <w:sz w:val="24"/>
          <w:szCs w:val="24"/>
        </w:rPr>
        <w:t>e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tri</w:t>
      </w:r>
      <w:r w:rsidR="00953AC6" w:rsidRPr="007E7773">
        <w:rPr>
          <w:rFonts w:ascii="Arial" w:hAnsi="Arial" w:cs="Arial"/>
          <w:sz w:val="24"/>
          <w:szCs w:val="24"/>
        </w:rPr>
        <w:t>a</w:t>
      </w:r>
      <w:r w:rsidR="00953AC6" w:rsidRPr="007E7773">
        <w:rPr>
          <w:rFonts w:ascii="Arial" w:hAnsi="Arial" w:cs="Arial"/>
          <w:sz w:val="24"/>
          <w:szCs w:val="24"/>
        </w:rPr>
        <w:t>l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is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a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n</w:t>
      </w:r>
      <w:r w:rsidR="00953AC6" w:rsidRPr="007E7773">
        <w:rPr>
          <w:rFonts w:ascii="Arial" w:hAnsi="Arial" w:cs="Arial"/>
          <w:sz w:val="24"/>
          <w:szCs w:val="24"/>
        </w:rPr>
        <w:t>ull</w:t>
      </w:r>
      <w:r w:rsidR="00953AC6" w:rsidRPr="007E7773">
        <w:rPr>
          <w:rFonts w:ascii="Arial" w:hAnsi="Arial" w:cs="Arial"/>
          <w:sz w:val="24"/>
          <w:szCs w:val="24"/>
        </w:rPr>
        <w:t>i</w:t>
      </w:r>
      <w:r w:rsidR="00953AC6" w:rsidRPr="007E7773">
        <w:rPr>
          <w:rFonts w:ascii="Arial" w:hAnsi="Arial" w:cs="Arial"/>
          <w:sz w:val="24"/>
          <w:szCs w:val="24"/>
        </w:rPr>
        <w:t>ty: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see,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f</w:t>
      </w:r>
      <w:r w:rsidR="00953AC6" w:rsidRPr="007E7773">
        <w:rPr>
          <w:rFonts w:ascii="Arial" w:hAnsi="Arial" w:cs="Arial"/>
          <w:sz w:val="24"/>
          <w:szCs w:val="24"/>
        </w:rPr>
        <w:t>or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i</w:t>
      </w:r>
      <w:r w:rsidR="00953AC6" w:rsidRPr="007E7773">
        <w:rPr>
          <w:rFonts w:ascii="Arial" w:hAnsi="Arial" w:cs="Arial"/>
          <w:sz w:val="24"/>
          <w:szCs w:val="24"/>
        </w:rPr>
        <w:t>n</w:t>
      </w:r>
      <w:r w:rsidR="00953AC6" w:rsidRPr="007E7773">
        <w:rPr>
          <w:rFonts w:ascii="Arial" w:hAnsi="Arial" w:cs="Arial"/>
          <w:sz w:val="24"/>
          <w:szCs w:val="24"/>
        </w:rPr>
        <w:t>sta</w:t>
      </w:r>
      <w:r w:rsidR="00953AC6" w:rsidRPr="007E7773">
        <w:rPr>
          <w:rFonts w:ascii="Arial" w:hAnsi="Arial" w:cs="Arial"/>
          <w:sz w:val="24"/>
          <w:szCs w:val="24"/>
        </w:rPr>
        <w:t>n</w:t>
      </w:r>
      <w:r w:rsidR="00953AC6" w:rsidRPr="007E7773">
        <w:rPr>
          <w:rFonts w:ascii="Arial" w:hAnsi="Arial" w:cs="Arial"/>
          <w:sz w:val="24"/>
          <w:szCs w:val="24"/>
        </w:rPr>
        <w:t>ce,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Joseph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hAnsi="Arial" w:cs="Arial"/>
          <w:sz w:val="24"/>
          <w:szCs w:val="24"/>
        </w:rPr>
        <w:t>Kabai</w:t>
      </w:r>
      <w:proofErr w:type="spellEnd"/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v</w:t>
      </w:r>
      <w:r w:rsidR="00953AC6" w:rsidRPr="007E7773">
        <w:rPr>
          <w:rFonts w:ascii="Arial" w:hAnsi="Arial" w:cs="Arial"/>
          <w:sz w:val="24"/>
          <w:szCs w:val="24"/>
        </w:rPr>
        <w:t>.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R</w:t>
      </w:r>
      <w:r w:rsidR="00953AC6" w:rsidRPr="007E7773">
        <w:rPr>
          <w:rFonts w:ascii="Arial" w:hAnsi="Arial" w:cs="Arial"/>
          <w:sz w:val="24"/>
          <w:szCs w:val="24"/>
        </w:rPr>
        <w:t>eg.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(</w:t>
      </w:r>
      <w:r w:rsidR="00953AC6" w:rsidRPr="007E7773">
        <w:rPr>
          <w:rFonts w:ascii="Arial" w:hAnsi="Arial" w:cs="Arial"/>
          <w:sz w:val="24"/>
          <w:szCs w:val="24"/>
        </w:rPr>
        <w:t>195</w:t>
      </w:r>
      <w:r w:rsidR="00953AC6" w:rsidRPr="007E7773">
        <w:rPr>
          <w:rFonts w:ascii="Arial" w:hAnsi="Arial" w:cs="Arial"/>
          <w:sz w:val="24"/>
          <w:szCs w:val="24"/>
        </w:rPr>
        <w:t>9</w:t>
      </w:r>
      <w:r w:rsidR="00953AC6" w:rsidRPr="007E7773">
        <w:rPr>
          <w:rFonts w:ascii="Arial" w:hAnsi="Arial" w:cs="Arial"/>
          <w:sz w:val="24"/>
          <w:szCs w:val="24"/>
        </w:rPr>
        <w:t>)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21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EACA</w:t>
      </w:r>
      <w:r w:rsidR="00953AC6" w:rsidRPr="007E7773">
        <w:rPr>
          <w:rFonts w:ascii="Arial" w:hAnsi="Arial" w:cs="Arial"/>
          <w:sz w:val="24"/>
          <w:szCs w:val="24"/>
        </w:rPr>
        <w:t xml:space="preserve"> </w:t>
      </w:r>
      <w:r w:rsidR="00953AC6" w:rsidRPr="007E7773">
        <w:rPr>
          <w:rFonts w:ascii="Arial" w:hAnsi="Arial" w:cs="Arial"/>
          <w:sz w:val="24"/>
          <w:szCs w:val="24"/>
        </w:rPr>
        <w:t>260;</w:t>
      </w:r>
    </w:p>
    <w:p w:rsidR="001C11FD" w:rsidRPr="007E7773" w:rsidRDefault="007E7773" w:rsidP="00C933ED">
      <w:pPr>
        <w:tabs>
          <w:tab w:val="left" w:pos="2257"/>
        </w:tabs>
        <w:spacing w:line="325" w:lineRule="exact"/>
        <w:ind w:left="2257" w:hanging="706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(ii)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ich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as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begun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wi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prescri</w:t>
      </w:r>
      <w:r w:rsidR="00953AC6" w:rsidRPr="007E7773">
        <w:rPr>
          <w:rFonts w:ascii="Arial" w:eastAsia="Tahoma" w:hAnsi="Arial" w:cs="Arial"/>
          <w:sz w:val="24"/>
          <w:szCs w:val="24"/>
        </w:rPr>
        <w:t>b</w:t>
      </w:r>
      <w:r w:rsidR="00953AC6" w:rsidRPr="007E7773">
        <w:rPr>
          <w:rFonts w:ascii="Arial" w:eastAsia="Tahoma" w:hAnsi="Arial" w:cs="Arial"/>
          <w:sz w:val="24"/>
          <w:szCs w:val="24"/>
        </w:rPr>
        <w:t>ed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b</w:t>
      </w:r>
      <w:r w:rsidR="00953AC6" w:rsidRPr="007E7773">
        <w:rPr>
          <w:rFonts w:ascii="Arial" w:eastAsia="Tahoma" w:hAnsi="Arial" w:cs="Arial"/>
          <w:sz w:val="24"/>
          <w:szCs w:val="24"/>
        </w:rPr>
        <w:t>er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sors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inu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wi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less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an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two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>ul: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>or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instance,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Clarence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G</w:t>
      </w:r>
      <w:r w:rsidR="00953AC6" w:rsidRPr="007E7773">
        <w:rPr>
          <w:rFonts w:ascii="Arial" w:eastAsia="Tahoma" w:hAnsi="Arial" w:cs="Arial"/>
          <w:sz w:val="24"/>
          <w:szCs w:val="24"/>
        </w:rPr>
        <w:t>ikuli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eg.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</w:t>
      </w:r>
      <w:r w:rsidR="00953AC6" w:rsidRPr="007E7773">
        <w:rPr>
          <w:rFonts w:ascii="Arial" w:eastAsia="Tahoma" w:hAnsi="Arial" w:cs="Arial"/>
          <w:sz w:val="24"/>
          <w:szCs w:val="24"/>
        </w:rPr>
        <w:t>195</w:t>
      </w:r>
      <w:r w:rsidR="00953AC6" w:rsidRPr="007E7773">
        <w:rPr>
          <w:rFonts w:ascii="Arial" w:eastAsia="Tahoma" w:hAnsi="Arial" w:cs="Arial"/>
          <w:sz w:val="24"/>
          <w:szCs w:val="24"/>
        </w:rPr>
        <w:t>9</w:t>
      </w:r>
      <w:r w:rsidR="00953AC6" w:rsidRPr="007E7773">
        <w:rPr>
          <w:rFonts w:ascii="Arial" w:eastAsia="Tahoma" w:hAnsi="Arial" w:cs="Arial"/>
          <w:sz w:val="24"/>
          <w:szCs w:val="24"/>
        </w:rPr>
        <w:t>)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21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EACA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304;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y</w:t>
      </w:r>
      <w:r w:rsidR="00953AC6" w:rsidRPr="007E7773">
        <w:rPr>
          <w:rFonts w:ascii="Arial" w:eastAsia="Tahoma" w:hAnsi="Arial" w:cs="Arial"/>
          <w:sz w:val="24"/>
          <w:szCs w:val="24"/>
        </w:rPr>
        <w:t>ehese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C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eru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</w:t>
      </w:r>
      <w:r w:rsidR="00953AC6" w:rsidRPr="007E7773">
        <w:rPr>
          <w:rFonts w:ascii="Arial" w:eastAsia="Tahoma" w:hAnsi="Arial" w:cs="Arial"/>
          <w:sz w:val="24"/>
          <w:szCs w:val="24"/>
        </w:rPr>
        <w:t>198</w:t>
      </w:r>
      <w:r w:rsidR="00953AC6" w:rsidRPr="007E7773">
        <w:rPr>
          <w:rFonts w:ascii="Arial" w:eastAsia="Tahoma" w:hAnsi="Arial" w:cs="Arial"/>
          <w:sz w:val="24"/>
          <w:szCs w:val="24"/>
        </w:rPr>
        <w:t>8</w:t>
      </w:r>
      <w:r w:rsidR="00953AC6" w:rsidRPr="007E7773">
        <w:rPr>
          <w:rFonts w:ascii="Arial" w:eastAsia="Tahoma" w:hAnsi="Arial" w:cs="Arial"/>
          <w:sz w:val="24"/>
          <w:szCs w:val="24"/>
        </w:rPr>
        <w:t>)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TLR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140,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tc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>;</w:t>
      </w:r>
    </w:p>
    <w:p w:rsidR="001C11FD" w:rsidRPr="007E7773" w:rsidRDefault="007E7773" w:rsidP="00C933ED">
      <w:pPr>
        <w:tabs>
          <w:tab w:val="left" w:pos="2338"/>
        </w:tabs>
        <w:spacing w:before="1"/>
        <w:ind w:left="2338" w:hanging="788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(iii)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here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j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>g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es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not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g</w:t>
      </w:r>
      <w:r w:rsidR="00953AC6" w:rsidRPr="007E7773">
        <w:rPr>
          <w:rFonts w:ascii="Arial" w:eastAsia="Tahoma" w:hAnsi="Arial" w:cs="Arial"/>
          <w:sz w:val="24"/>
          <w:szCs w:val="24"/>
        </w:rPr>
        <w:t>ree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with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op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nion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sor,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ors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/she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ould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record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his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re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sons,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else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ght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lead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viti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ti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convicti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n: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>or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instance,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Baland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Singh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Reg.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</w:t>
      </w:r>
      <w:r w:rsidR="00953AC6" w:rsidRPr="007E7773">
        <w:rPr>
          <w:rFonts w:ascii="Arial" w:eastAsia="Tahoma" w:hAnsi="Arial" w:cs="Arial"/>
          <w:sz w:val="24"/>
          <w:szCs w:val="24"/>
        </w:rPr>
        <w:t>19</w:t>
      </w:r>
      <w:r w:rsidR="00953AC6" w:rsidRPr="007E7773">
        <w:rPr>
          <w:rFonts w:ascii="Arial" w:eastAsia="Tahoma" w:hAnsi="Arial" w:cs="Arial"/>
          <w:sz w:val="24"/>
          <w:szCs w:val="24"/>
        </w:rPr>
        <w:t>5</w:t>
      </w:r>
      <w:r w:rsidR="00953AC6" w:rsidRPr="007E7773">
        <w:rPr>
          <w:rFonts w:ascii="Arial" w:eastAsia="Tahoma" w:hAnsi="Arial" w:cs="Arial"/>
          <w:sz w:val="24"/>
          <w:szCs w:val="24"/>
        </w:rPr>
        <w:t>4)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21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EACA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209;</w:t>
      </w:r>
    </w:p>
    <w:p w:rsidR="001C11FD" w:rsidRPr="007E7773" w:rsidRDefault="007E7773" w:rsidP="00C933ED">
      <w:pPr>
        <w:tabs>
          <w:tab w:val="left" w:pos="2338"/>
        </w:tabs>
        <w:spacing w:before="1"/>
        <w:ind w:left="2338" w:hanging="788"/>
        <w:rPr>
          <w:rFonts w:ascii="Arial" w:eastAsia="Tahoma" w:hAnsi="Arial" w:cs="Arial"/>
          <w:sz w:val="24"/>
          <w:szCs w:val="24"/>
        </w:rPr>
      </w:pPr>
      <w:proofErr w:type="gramStart"/>
      <w:r w:rsidRPr="007E7773">
        <w:rPr>
          <w:rFonts w:ascii="Arial" w:eastAsia="Tahoma" w:hAnsi="Arial" w:cs="Arial"/>
          <w:sz w:val="24"/>
          <w:szCs w:val="24"/>
        </w:rPr>
        <w:t>(iv)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It</w:t>
      </w:r>
      <w:proofErr w:type="gram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sou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practi</w:t>
      </w:r>
      <w:r w:rsidR="00953AC6" w:rsidRPr="007E7773">
        <w:rPr>
          <w:rFonts w:ascii="Arial" w:eastAsia="Tahoma" w:hAnsi="Arial" w:cs="Arial"/>
          <w:sz w:val="24"/>
          <w:szCs w:val="24"/>
        </w:rPr>
        <w:t>c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ich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as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be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</w:p>
    <w:p w:rsidR="001C11FD" w:rsidRPr="007E7773" w:rsidRDefault="001C11FD">
      <w:pPr>
        <w:rPr>
          <w:rFonts w:ascii="Arial" w:eastAsia="Tahoma" w:hAnsi="Arial" w:cs="Arial"/>
          <w:sz w:val="24"/>
          <w:szCs w:val="24"/>
        </w:rPr>
        <w:sectPr w:rsidR="001C11FD" w:rsidRPr="007E7773">
          <w:footerReference w:type="default" r:id="rId11"/>
          <w:pgSz w:w="12240" w:h="15840"/>
          <w:pgMar w:top="760" w:right="1140" w:bottom="1200" w:left="1060" w:header="0" w:footer="1015" w:gutter="0"/>
          <w:cols w:space="720"/>
        </w:sectPr>
      </w:pPr>
    </w:p>
    <w:p w:rsidR="001C11FD" w:rsidRPr="007E7773" w:rsidRDefault="00953AC6" w:rsidP="00C933ED">
      <w:pPr>
        <w:pStyle w:val="Heading1"/>
        <w:spacing w:before="60" w:line="462" w:lineRule="auto"/>
        <w:ind w:left="1597" w:right="977" w:firstLine="14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lastRenderedPageBreak/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iste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tly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owed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owe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ortu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ity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object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assessor: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see,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>eni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aata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,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>991)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T.L.R.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59;</w:t>
      </w:r>
    </w:p>
    <w:p w:rsidR="001C11FD" w:rsidRPr="007E7773" w:rsidRDefault="007E7773" w:rsidP="00C933ED">
      <w:pPr>
        <w:tabs>
          <w:tab w:val="left" w:pos="1597"/>
        </w:tabs>
        <w:spacing w:before="1"/>
        <w:ind w:left="1597" w:hanging="706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(v)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Denying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sors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op</w:t>
      </w:r>
      <w:r w:rsidR="00953AC6" w:rsidRPr="007E7773">
        <w:rPr>
          <w:rFonts w:ascii="Arial" w:eastAsia="Tahoma" w:hAnsi="Arial" w:cs="Arial"/>
          <w:sz w:val="24"/>
          <w:szCs w:val="24"/>
        </w:rPr>
        <w:t>p</w:t>
      </w:r>
      <w:r w:rsidR="00953AC6" w:rsidRPr="007E7773">
        <w:rPr>
          <w:rFonts w:ascii="Arial" w:eastAsia="Tahoma" w:hAnsi="Arial" w:cs="Arial"/>
          <w:sz w:val="24"/>
          <w:szCs w:val="24"/>
        </w:rPr>
        <w:t>ortu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ity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p</w:t>
      </w:r>
      <w:r w:rsidR="00953AC6" w:rsidRPr="007E7773">
        <w:rPr>
          <w:rFonts w:ascii="Arial" w:eastAsia="Tahoma" w:hAnsi="Arial" w:cs="Arial"/>
          <w:sz w:val="24"/>
          <w:szCs w:val="24"/>
        </w:rPr>
        <w:t>ut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qu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stions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="00953AC6" w:rsidRPr="007E7773">
        <w:rPr>
          <w:rFonts w:ascii="Arial" w:eastAsia="Tahoma" w:hAnsi="Arial" w:cs="Arial"/>
          <w:sz w:val="24"/>
          <w:szCs w:val="24"/>
        </w:rPr>
        <w:t>wi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nes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proofErr w:type="gram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mea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were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exc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uded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>rom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>ully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p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rtici</w:t>
      </w:r>
      <w:r w:rsidR="00953AC6" w:rsidRPr="007E7773">
        <w:rPr>
          <w:rFonts w:ascii="Arial" w:eastAsia="Tahoma" w:hAnsi="Arial" w:cs="Arial"/>
          <w:sz w:val="24"/>
          <w:szCs w:val="24"/>
        </w:rPr>
        <w:t>p</w:t>
      </w:r>
      <w:r w:rsidR="00953AC6" w:rsidRPr="007E7773">
        <w:rPr>
          <w:rFonts w:ascii="Arial" w:eastAsia="Tahoma" w:hAnsi="Arial" w:cs="Arial"/>
          <w:sz w:val="24"/>
          <w:szCs w:val="24"/>
        </w:rPr>
        <w:t>at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ng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: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Abdallah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Baz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y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Others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.,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</w:t>
      </w:r>
      <w:r w:rsidR="00953AC6" w:rsidRPr="007E7773">
        <w:rPr>
          <w:rFonts w:ascii="Arial" w:eastAsia="Tahoma" w:hAnsi="Arial" w:cs="Arial"/>
          <w:sz w:val="24"/>
          <w:szCs w:val="24"/>
        </w:rPr>
        <w:t>1</w:t>
      </w:r>
      <w:r w:rsidR="00953AC6" w:rsidRPr="007E7773">
        <w:rPr>
          <w:rFonts w:ascii="Arial" w:eastAsia="Tahoma" w:hAnsi="Arial" w:cs="Arial"/>
          <w:sz w:val="24"/>
          <w:szCs w:val="24"/>
        </w:rPr>
        <w:t>99</w:t>
      </w:r>
      <w:r w:rsidR="00953AC6" w:rsidRPr="007E7773">
        <w:rPr>
          <w:rFonts w:ascii="Arial" w:eastAsia="Tahoma" w:hAnsi="Arial" w:cs="Arial"/>
          <w:sz w:val="24"/>
          <w:szCs w:val="24"/>
        </w:rPr>
        <w:t>0</w:t>
      </w:r>
      <w:r w:rsidR="00953AC6" w:rsidRPr="007E7773">
        <w:rPr>
          <w:rFonts w:ascii="Arial" w:eastAsia="Tahoma" w:hAnsi="Arial" w:cs="Arial"/>
          <w:sz w:val="24"/>
          <w:szCs w:val="24"/>
        </w:rPr>
        <w:t>)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T.L.R.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4</w:t>
      </w:r>
      <w:r w:rsidR="00953AC6" w:rsidRPr="007E7773">
        <w:rPr>
          <w:rFonts w:ascii="Arial" w:eastAsia="Tahoma" w:hAnsi="Arial" w:cs="Arial"/>
          <w:sz w:val="24"/>
          <w:szCs w:val="24"/>
        </w:rPr>
        <w:t>2</w:t>
      </w:r>
      <w:r w:rsidR="00953AC6" w:rsidRPr="007E7773">
        <w:rPr>
          <w:rFonts w:ascii="Arial" w:eastAsia="Tahoma" w:hAnsi="Arial" w:cs="Arial"/>
          <w:sz w:val="24"/>
          <w:szCs w:val="24"/>
        </w:rPr>
        <w:t>;</w:t>
      </w:r>
    </w:p>
    <w:p w:rsidR="001C11FD" w:rsidRPr="007E7773" w:rsidRDefault="001C11FD" w:rsidP="00C933ED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 w:rsidP="00C933E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7E7773" w:rsidP="00C933ED">
      <w:pPr>
        <w:tabs>
          <w:tab w:val="left" w:pos="1597"/>
        </w:tabs>
        <w:ind w:left="1597" w:hanging="706"/>
        <w:rPr>
          <w:rFonts w:ascii="Arial" w:eastAsia="Tahoma" w:hAnsi="Arial" w:cs="Arial"/>
          <w:sz w:val="24"/>
          <w:szCs w:val="24"/>
        </w:rPr>
      </w:pPr>
      <w:proofErr w:type="gramStart"/>
      <w:r w:rsidRPr="007E7773">
        <w:rPr>
          <w:rFonts w:ascii="Arial" w:eastAsia="Tahoma" w:hAnsi="Arial" w:cs="Arial"/>
          <w:sz w:val="24"/>
          <w:szCs w:val="24"/>
        </w:rPr>
        <w:t>(vi)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here</w:t>
      </w:r>
      <w:proofErr w:type="gram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rial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with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esso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s,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ere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ing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up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case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asse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sors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con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equ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nce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eir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op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nion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ot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taken,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ull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ty: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Khamis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Nassoro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homar</w:t>
      </w:r>
      <w:proofErr w:type="spellEnd"/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v.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.M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>Z.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</w:t>
      </w:r>
      <w:r w:rsidR="00953AC6" w:rsidRPr="007E7773">
        <w:rPr>
          <w:rFonts w:ascii="Arial" w:eastAsia="Tahoma" w:hAnsi="Arial" w:cs="Arial"/>
          <w:sz w:val="24"/>
          <w:szCs w:val="24"/>
        </w:rPr>
        <w:t>200</w:t>
      </w:r>
      <w:r w:rsidR="00953AC6" w:rsidRPr="007E7773">
        <w:rPr>
          <w:rFonts w:ascii="Arial" w:eastAsia="Tahoma" w:hAnsi="Arial" w:cs="Arial"/>
          <w:sz w:val="24"/>
          <w:szCs w:val="24"/>
        </w:rPr>
        <w:t>5</w:t>
      </w:r>
      <w:r w:rsidR="00953AC6" w:rsidRPr="007E7773">
        <w:rPr>
          <w:rFonts w:ascii="Arial" w:eastAsia="Tahoma" w:hAnsi="Arial" w:cs="Arial"/>
          <w:sz w:val="24"/>
          <w:szCs w:val="24"/>
        </w:rPr>
        <w:t>)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T.L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>R.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228;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</w:p>
    <w:p w:rsidR="001C11FD" w:rsidRPr="007E7773" w:rsidRDefault="001C11FD" w:rsidP="00C933ED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 w:rsidP="00C933E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7E7773" w:rsidP="00C933ED">
      <w:pPr>
        <w:tabs>
          <w:tab w:val="left" w:pos="1597"/>
        </w:tabs>
        <w:ind w:left="1597" w:hanging="706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(vii)</w:t>
      </w:r>
      <w:r w:rsidRPr="007E7773">
        <w:rPr>
          <w:rFonts w:ascii="Arial" w:eastAsia="Tahoma" w:hAnsi="Arial" w:cs="Arial"/>
          <w:sz w:val="24"/>
          <w:szCs w:val="24"/>
        </w:rPr>
        <w:tab/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>here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here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nad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quate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summ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ng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up,</w:t>
      </w:r>
      <w:r w:rsidR="00C933ED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no</w:t>
      </w:r>
      <w:r w:rsidR="00953AC6" w:rsidRPr="007E7773">
        <w:rPr>
          <w:rFonts w:ascii="Arial" w:eastAsia="Tahoma" w:hAnsi="Arial" w:cs="Arial"/>
          <w:sz w:val="24"/>
          <w:szCs w:val="24"/>
        </w:rPr>
        <w:t>n-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re</w:t>
      </w:r>
      <w:r w:rsidR="00953AC6" w:rsidRPr="007E7773">
        <w:rPr>
          <w:rFonts w:ascii="Arial" w:eastAsia="Tahoma" w:hAnsi="Arial" w:cs="Arial"/>
          <w:sz w:val="24"/>
          <w:szCs w:val="24"/>
        </w:rPr>
        <w:t>c</w:t>
      </w:r>
      <w:r w:rsidR="00953AC6" w:rsidRPr="007E7773">
        <w:rPr>
          <w:rFonts w:ascii="Arial" w:eastAsia="Tahoma" w:hAnsi="Arial" w:cs="Arial"/>
          <w:sz w:val="24"/>
          <w:szCs w:val="24"/>
        </w:rPr>
        <w:t>ti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or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re</w:t>
      </w:r>
      <w:r w:rsidR="00953AC6" w:rsidRPr="007E7773">
        <w:rPr>
          <w:rFonts w:ascii="Arial" w:eastAsia="Tahoma" w:hAnsi="Arial" w:cs="Arial"/>
          <w:sz w:val="24"/>
          <w:szCs w:val="24"/>
        </w:rPr>
        <w:t>c</w:t>
      </w:r>
      <w:r w:rsidR="00953AC6" w:rsidRPr="007E7773">
        <w:rPr>
          <w:rFonts w:ascii="Arial" w:eastAsia="Tahoma" w:hAnsi="Arial" w:cs="Arial"/>
          <w:sz w:val="24"/>
          <w:szCs w:val="24"/>
        </w:rPr>
        <w:t>ti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on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…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vit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p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int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w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assessors,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is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>emed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to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be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without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assesso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re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ders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</w:t>
      </w:r>
      <w:r w:rsidR="00953AC6" w:rsidRPr="007E7773">
        <w:rPr>
          <w:rFonts w:ascii="Arial" w:eastAsia="Tahoma" w:hAnsi="Arial" w:cs="Arial"/>
          <w:sz w:val="24"/>
          <w:szCs w:val="24"/>
        </w:rPr>
        <w:t>h</w:t>
      </w:r>
      <w:r w:rsidR="00953AC6" w:rsidRPr="007E7773">
        <w:rPr>
          <w:rFonts w:ascii="Arial" w:eastAsia="Tahoma" w:hAnsi="Arial" w:cs="Arial"/>
          <w:sz w:val="24"/>
          <w:szCs w:val="24"/>
        </w:rPr>
        <w:t>e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tri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l</w:t>
      </w:r>
      <w:r w:rsidR="00953AC6" w:rsidRPr="007E7773">
        <w:rPr>
          <w:rFonts w:ascii="Arial" w:eastAsia="Tahoma" w:hAnsi="Arial" w:cs="Arial"/>
          <w:sz w:val="24"/>
          <w:szCs w:val="24"/>
        </w:rPr>
        <w:t>ity.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See,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aid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shangama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@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Senga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.,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Crim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Appeal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No.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8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2014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and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M</w:t>
      </w:r>
      <w:r w:rsidR="00953AC6" w:rsidRPr="007E7773">
        <w:rPr>
          <w:rFonts w:ascii="Arial" w:eastAsia="Tahoma" w:hAnsi="Arial" w:cs="Arial"/>
          <w:sz w:val="24"/>
          <w:szCs w:val="24"/>
        </w:rPr>
        <w:t>asolwa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953AC6" w:rsidRPr="007E7773">
        <w:rPr>
          <w:rFonts w:ascii="Arial" w:eastAsia="Tahoma" w:hAnsi="Arial" w:cs="Arial"/>
          <w:sz w:val="24"/>
          <w:szCs w:val="24"/>
        </w:rPr>
        <w:t>S</w:t>
      </w:r>
      <w:r w:rsidR="00953AC6" w:rsidRPr="007E7773">
        <w:rPr>
          <w:rFonts w:ascii="Arial" w:eastAsia="Tahoma" w:hAnsi="Arial" w:cs="Arial"/>
          <w:sz w:val="24"/>
          <w:szCs w:val="24"/>
        </w:rPr>
        <w:t>amweli</w:t>
      </w:r>
      <w:proofErr w:type="spellEnd"/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v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R</w:t>
      </w:r>
      <w:r w:rsidR="00953AC6" w:rsidRPr="007E7773">
        <w:rPr>
          <w:rFonts w:ascii="Arial" w:eastAsia="Tahoma" w:hAnsi="Arial" w:cs="Arial"/>
          <w:sz w:val="24"/>
          <w:szCs w:val="24"/>
        </w:rPr>
        <w:t>.,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Crim</w:t>
      </w:r>
      <w:r w:rsidR="00953AC6" w:rsidRPr="007E7773">
        <w:rPr>
          <w:rFonts w:ascii="Arial" w:eastAsia="Tahoma" w:hAnsi="Arial" w:cs="Arial"/>
          <w:sz w:val="24"/>
          <w:szCs w:val="24"/>
        </w:rPr>
        <w:t>i</w:t>
      </w:r>
      <w:r w:rsidR="00953AC6" w:rsidRPr="007E7773">
        <w:rPr>
          <w:rFonts w:ascii="Arial" w:eastAsia="Tahoma" w:hAnsi="Arial" w:cs="Arial"/>
          <w:sz w:val="24"/>
          <w:szCs w:val="24"/>
        </w:rPr>
        <w:t>nal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Appeal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N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.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206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o</w:t>
      </w:r>
      <w:r w:rsidR="00953AC6" w:rsidRPr="007E7773">
        <w:rPr>
          <w:rFonts w:ascii="Arial" w:eastAsia="Tahoma" w:hAnsi="Arial" w:cs="Arial"/>
          <w:sz w:val="24"/>
          <w:szCs w:val="24"/>
        </w:rPr>
        <w:t>f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2014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(both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u</w:t>
      </w:r>
      <w:r w:rsidR="00953AC6" w:rsidRPr="007E7773">
        <w:rPr>
          <w:rFonts w:ascii="Arial" w:eastAsia="Tahoma" w:hAnsi="Arial" w:cs="Arial"/>
          <w:sz w:val="24"/>
          <w:szCs w:val="24"/>
        </w:rPr>
        <w:t>nreported</w:t>
      </w:r>
      <w:r w:rsidR="00953AC6" w:rsidRPr="007E7773">
        <w:rPr>
          <w:rFonts w:ascii="Arial" w:eastAsia="Tahoma" w:hAnsi="Arial" w:cs="Arial"/>
          <w:sz w:val="24"/>
          <w:szCs w:val="24"/>
        </w:rPr>
        <w:t>)</w:t>
      </w:r>
      <w:r w:rsidR="00953AC6" w:rsidRPr="007E7773">
        <w:rPr>
          <w:rFonts w:ascii="Arial" w:eastAsia="Tahoma" w:hAnsi="Arial" w:cs="Arial"/>
          <w:sz w:val="24"/>
          <w:szCs w:val="24"/>
        </w:rPr>
        <w:t>,</w:t>
      </w:r>
      <w:r w:rsidR="00953AC6" w:rsidRPr="007E7773">
        <w:rPr>
          <w:rFonts w:ascii="Arial" w:eastAsia="Tahoma" w:hAnsi="Arial" w:cs="Arial"/>
          <w:sz w:val="24"/>
          <w:szCs w:val="24"/>
        </w:rPr>
        <w:t xml:space="preserve"> </w:t>
      </w:r>
      <w:r w:rsidR="00953AC6" w:rsidRPr="007E7773">
        <w:rPr>
          <w:rFonts w:ascii="Arial" w:eastAsia="Tahoma" w:hAnsi="Arial" w:cs="Arial"/>
          <w:sz w:val="24"/>
          <w:szCs w:val="24"/>
        </w:rPr>
        <w:t>etc.</w:t>
      </w:r>
    </w:p>
    <w:p w:rsidR="001C11FD" w:rsidRPr="007E7773" w:rsidRDefault="001C11FD">
      <w:pPr>
        <w:spacing w:line="462" w:lineRule="auto"/>
        <w:jc w:val="both"/>
        <w:rPr>
          <w:rFonts w:ascii="Arial" w:eastAsia="Tahoma" w:hAnsi="Arial" w:cs="Arial"/>
          <w:sz w:val="24"/>
          <w:szCs w:val="24"/>
        </w:rPr>
        <w:sectPr w:rsidR="001C11FD" w:rsidRPr="007E7773">
          <w:footerReference w:type="default" r:id="rId12"/>
          <w:pgSz w:w="12240" w:h="15840"/>
          <w:pgMar w:top="560" w:right="1720" w:bottom="1200" w:left="172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73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I</w:t>
      </w:r>
      <w:r w:rsidRPr="007E7773">
        <w:rPr>
          <w:rFonts w:ascii="Arial" w:hAnsi="Arial" w:cs="Arial"/>
          <w:sz w:val="24"/>
          <w:szCs w:val="24"/>
        </w:rPr>
        <w:t>n 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 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hington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s/o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Odi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go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.,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 xml:space="preserve">1954) 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1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EA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392,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Eastern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Africa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tat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lue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assistance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l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cue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observ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Abdalla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Bazimiye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pr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duty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take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“in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ccount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>”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>
      <w:pPr>
        <w:pStyle w:val="BodyText"/>
        <w:spacing w:line="307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ur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ccinctly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at:-</w:t>
      </w:r>
    </w:p>
    <w:p w:rsidR="001C11FD" w:rsidRPr="007E7773" w:rsidRDefault="001C11FD">
      <w:pPr>
        <w:spacing w:before="5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Heading1"/>
        <w:spacing w:line="462" w:lineRule="auto"/>
        <w:ind w:right="1555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ink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sor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’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olvement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essential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proces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issi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atal,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renders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ity.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wish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anot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ght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expositi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n: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purpose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ormed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become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neces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ary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ght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ege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ela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princ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le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sagreeing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ani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determine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ether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entitled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le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determinat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meaningfully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know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e’s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sagreeing,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preci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easons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auge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ormed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need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s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sagreeing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ani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nci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ted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Charles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egese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Crim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</w:t>
      </w:r>
    </w:p>
    <w:p w:rsidR="001C11FD" w:rsidRPr="007E7773" w:rsidRDefault="001C11FD">
      <w:pPr>
        <w:spacing w:line="462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footerReference w:type="default" r:id="rId13"/>
          <w:pgSz w:w="12240" w:h="15840"/>
          <w:pgMar w:top="580" w:right="1140" w:bottom="1200" w:left="1060" w:header="0" w:footer="1015" w:gutter="0"/>
          <w:pgNumType w:start="11"/>
          <w:cols w:space="720"/>
        </w:sectPr>
      </w:pPr>
    </w:p>
    <w:p w:rsidR="001C11FD" w:rsidRPr="007E7773" w:rsidRDefault="00953AC6">
      <w:pPr>
        <w:spacing w:before="60" w:line="461" w:lineRule="auto"/>
        <w:ind w:left="1551" w:right="1277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lastRenderedPageBreak/>
        <w:t>Appeal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13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1</w:t>
      </w:r>
      <w:r w:rsidRPr="007E7773">
        <w:rPr>
          <w:rFonts w:ascii="Arial" w:eastAsia="Tahoma" w:hAnsi="Arial" w:cs="Arial"/>
          <w:sz w:val="24"/>
          <w:szCs w:val="24"/>
        </w:rPr>
        <w:t>9</w:t>
      </w:r>
      <w:r w:rsidRPr="007E7773">
        <w:rPr>
          <w:rFonts w:ascii="Arial" w:eastAsia="Tahoma" w:hAnsi="Arial" w:cs="Arial"/>
          <w:sz w:val="24"/>
          <w:szCs w:val="24"/>
        </w:rPr>
        <w:t>73,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rom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case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tri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Tanz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nia,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wish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x</w:t>
      </w:r>
      <w:r w:rsidRPr="007E7773">
        <w:rPr>
          <w:rFonts w:ascii="Arial" w:eastAsia="Tahoma" w:hAnsi="Arial" w:cs="Arial"/>
          <w:sz w:val="24"/>
          <w:szCs w:val="24"/>
        </w:rPr>
        <w:t>press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ur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ap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rov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it.</w:t>
      </w:r>
    </w:p>
    <w:p w:rsidR="001C11FD" w:rsidRPr="007E7773" w:rsidRDefault="00953AC6">
      <w:pPr>
        <w:spacing w:before="3" w:line="462" w:lineRule="auto"/>
        <w:ind w:left="1551" w:right="1560" w:firstLine="705"/>
        <w:jc w:val="both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For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so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have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endea</w:t>
      </w:r>
      <w:r w:rsidRPr="007E7773">
        <w:rPr>
          <w:rFonts w:ascii="Arial" w:eastAsia="Tahoma" w:hAnsi="Arial" w:cs="Arial"/>
          <w:sz w:val="24"/>
          <w:szCs w:val="24"/>
        </w:rPr>
        <w:t>v</w:t>
      </w:r>
      <w:r w:rsidRPr="007E7773">
        <w:rPr>
          <w:rFonts w:ascii="Arial" w:eastAsia="Tahoma" w:hAnsi="Arial" w:cs="Arial"/>
          <w:sz w:val="24"/>
          <w:szCs w:val="24"/>
        </w:rPr>
        <w:t>ored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expl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in,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High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Court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proceedings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case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ving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rise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peal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are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ity…”</w:t>
      </w:r>
    </w:p>
    <w:p w:rsidR="001C11FD" w:rsidRPr="007E7773" w:rsidRDefault="00953AC6">
      <w:pPr>
        <w:pStyle w:val="BodyText"/>
        <w:spacing w:before="8" w:line="480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ese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irm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y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ished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legal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princi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es on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ef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ective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nvo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veme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iz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ourselv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elled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resolve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set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pertinent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leg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ndat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provisions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265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ind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gui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according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y.</w:t>
      </w:r>
    </w:p>
    <w:p w:rsidR="001C11FD" w:rsidRPr="007E7773" w:rsidRDefault="00953AC6" w:rsidP="00C933ED">
      <w:pPr>
        <w:pStyle w:val="BodyText"/>
        <w:spacing w:line="312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nced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task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ould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gh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been</w:t>
      </w:r>
      <w:r w:rsidR="00C933ED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ending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raction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265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perspective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princ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ove.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eady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spectf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clear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stortion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ani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wo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tegorical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-</w:t>
      </w:r>
      <w:r w:rsidRPr="007E7773">
        <w:rPr>
          <w:rFonts w:ascii="Arial" w:hAnsi="Arial" w:cs="Arial"/>
          <w:sz w:val="24"/>
          <w:szCs w:val="24"/>
        </w:rPr>
        <w:t>acc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gui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atel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rary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view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proceeded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vi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ind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gui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charged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proceeded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>
      <w:pPr>
        <w:pStyle w:val="BodyText"/>
        <w:spacing w:before="1" w:line="479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Both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Mr.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hewa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right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heir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nanim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nion.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ect</w:t>
      </w:r>
    </w:p>
    <w:p w:rsidR="001C11FD" w:rsidRPr="007E7773" w:rsidRDefault="001C11FD">
      <w:pPr>
        <w:spacing w:line="479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6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80" w:lineRule="auto"/>
        <w:ind w:right="116"/>
        <w:jc w:val="both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lastRenderedPageBreak/>
        <w:t>of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stressed.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eir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strong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incurab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irregular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viti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rial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presse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essors.</w:t>
      </w:r>
    </w:p>
    <w:p w:rsidR="001C11FD" w:rsidRPr="007E7773" w:rsidRDefault="00953AC6">
      <w:pPr>
        <w:pStyle w:val="BodyText"/>
        <w:tabs>
          <w:tab w:val="left" w:pos="2279"/>
        </w:tabs>
        <w:spacing w:line="313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ree.</w:t>
      </w:r>
      <w:r w:rsidR="00C933ED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becau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conclud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eit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</w:p>
    <w:p w:rsidR="001C11FD" w:rsidRPr="007E7773" w:rsidRDefault="001C11FD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19"/>
        <w:jc w:val="both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t>acqui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tal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person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sent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assess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eperab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entire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proces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is/are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atever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storted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detri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arty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proceeding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can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conducted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ors.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ecomes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ull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ty.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according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ify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quash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death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.</w:t>
      </w:r>
    </w:p>
    <w:p w:rsidR="001C11FD" w:rsidRPr="007E7773" w:rsidRDefault="00953AC6" w:rsidP="00F95ABA">
      <w:pPr>
        <w:pStyle w:val="BodyText"/>
        <w:tabs>
          <w:tab w:val="left" w:pos="1234"/>
          <w:tab w:val="left" w:pos="1899"/>
          <w:tab w:val="left" w:pos="2491"/>
          <w:tab w:val="left" w:pos="4196"/>
          <w:tab w:val="left" w:pos="5759"/>
          <w:tab w:val="left" w:pos="6462"/>
          <w:tab w:val="left" w:pos="7345"/>
          <w:tab w:val="left" w:pos="7938"/>
          <w:tab w:val="left" w:pos="9048"/>
          <w:tab w:val="left" w:pos="9715"/>
        </w:tabs>
        <w:spacing w:line="313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It</w:t>
      </w:r>
      <w:r w:rsidR="00C933ED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="00F95ABA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mwa’s</w:t>
      </w:r>
      <w:proofErr w:type="spellEnd"/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issi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Mr.</w:t>
      </w:r>
      <w:r w:rsidR="00F9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Sehewa</w:t>
      </w:r>
      <w:proofErr w:type="spellEnd"/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="00F95ABA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reemen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hings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equal,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would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urged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-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But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press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retr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ari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ecause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g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prosecution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sel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rial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solely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predicated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octrine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os</w:t>
      </w:r>
      <w:r w:rsidRPr="007E7773">
        <w:rPr>
          <w:rFonts w:ascii="Arial" w:hAnsi="Arial" w:cs="Arial"/>
          <w:sz w:val="24"/>
          <w:szCs w:val="24"/>
        </w:rPr>
        <w:t>session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perty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>”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hib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2w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wrong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ked.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eir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ts.</w:t>
      </w:r>
    </w:p>
    <w:p w:rsidR="001C11FD" w:rsidRPr="007E7773" w:rsidRDefault="00953AC6">
      <w:pPr>
        <w:pStyle w:val="BodyText"/>
        <w:spacing w:before="6" w:line="479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eve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duty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-</w:t>
      </w:r>
      <w:r w:rsidRPr="007E7773">
        <w:rPr>
          <w:rFonts w:ascii="Arial" w:hAnsi="Arial" w:cs="Arial"/>
          <w:sz w:val="24"/>
          <w:szCs w:val="24"/>
        </w:rPr>
        <w:t>state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take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regard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circumstances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ctrine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ccessfully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oked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ls.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saying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rate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becau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bject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upon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lethora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well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settled.</w:t>
      </w:r>
    </w:p>
    <w:p w:rsidR="001C11FD" w:rsidRPr="007E7773" w:rsidRDefault="001C11FD">
      <w:pPr>
        <w:spacing w:line="479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8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79" w:lineRule="auto"/>
        <w:ind w:right="119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Joseph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Mkumbwa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Another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94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2007,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succinctly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953AC6">
      <w:pPr>
        <w:pStyle w:val="Heading1"/>
        <w:spacing w:line="319" w:lineRule="exact"/>
        <w:ind w:right="156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ctr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</w:t>
      </w:r>
    </w:p>
    <w:p w:rsidR="001C11FD" w:rsidRPr="007E7773" w:rsidRDefault="001C11FD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spacing w:line="462" w:lineRule="auto"/>
        <w:ind w:left="1551" w:right="1559"/>
        <w:jc w:val="both"/>
        <w:rPr>
          <w:rFonts w:ascii="Arial" w:eastAsia="Tahoma" w:hAnsi="Arial" w:cs="Arial"/>
          <w:sz w:val="24"/>
          <w:szCs w:val="24"/>
        </w:rPr>
      </w:pPr>
      <w:r w:rsidRPr="007E7773">
        <w:rPr>
          <w:rFonts w:ascii="Arial" w:eastAsia="Tahoma" w:hAnsi="Arial" w:cs="Arial"/>
          <w:sz w:val="24"/>
          <w:szCs w:val="24"/>
        </w:rPr>
        <w:t>be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siti</w:t>
      </w:r>
      <w:r w:rsidRPr="007E7773">
        <w:rPr>
          <w:rFonts w:ascii="Arial" w:eastAsia="Tahoma" w:hAnsi="Arial" w:cs="Arial"/>
          <w:sz w:val="24"/>
          <w:szCs w:val="24"/>
        </w:rPr>
        <w:t>v</w:t>
      </w:r>
      <w:r w:rsidRPr="007E7773">
        <w:rPr>
          <w:rFonts w:ascii="Arial" w:eastAsia="Tahoma" w:hAnsi="Arial" w:cs="Arial"/>
          <w:sz w:val="24"/>
          <w:szCs w:val="24"/>
        </w:rPr>
        <w:t>ely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proved,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first,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operty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ou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with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spe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second,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siti</w:t>
      </w:r>
      <w:r w:rsidRPr="007E7773">
        <w:rPr>
          <w:rFonts w:ascii="Arial" w:eastAsia="Tahoma" w:hAnsi="Arial" w:cs="Arial"/>
          <w:sz w:val="24"/>
          <w:szCs w:val="24"/>
        </w:rPr>
        <w:t>v</w:t>
      </w:r>
      <w:r w:rsidRPr="007E7773">
        <w:rPr>
          <w:rFonts w:ascii="Arial" w:eastAsia="Tahoma" w:hAnsi="Arial" w:cs="Arial"/>
          <w:sz w:val="24"/>
          <w:szCs w:val="24"/>
        </w:rPr>
        <w:t>ely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proved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r</w:t>
      </w:r>
      <w:r w:rsidRPr="007E7773">
        <w:rPr>
          <w:rFonts w:ascii="Arial" w:eastAsia="Tahoma" w:hAnsi="Arial" w:cs="Arial"/>
          <w:sz w:val="24"/>
          <w:szCs w:val="24"/>
        </w:rPr>
        <w:t>operty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com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nant,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third,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was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recen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ly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stolen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rom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com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inant,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and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lastly,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stolen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ing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ession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con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titut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ub</w:t>
      </w:r>
      <w:r w:rsidRPr="007E7773">
        <w:rPr>
          <w:rFonts w:ascii="Arial" w:eastAsia="Tahoma" w:hAnsi="Arial" w:cs="Arial"/>
          <w:sz w:val="24"/>
          <w:szCs w:val="24"/>
        </w:rPr>
        <w:t>j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harge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accused.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st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one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w</w:t>
      </w:r>
      <w:r w:rsidRPr="007E7773">
        <w:rPr>
          <w:rFonts w:ascii="Arial" w:eastAsia="Tahoma" w:hAnsi="Arial" w:cs="Arial"/>
          <w:sz w:val="24"/>
          <w:szCs w:val="24"/>
        </w:rPr>
        <w:t>as</w:t>
      </w:r>
      <w:r w:rsidR="007E7773"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stole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/obta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ned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during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com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>issi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ff</w:t>
      </w:r>
      <w:r w:rsidRPr="007E7773">
        <w:rPr>
          <w:rFonts w:ascii="Arial" w:eastAsia="Tahoma" w:hAnsi="Arial" w:cs="Arial"/>
          <w:sz w:val="24"/>
          <w:szCs w:val="24"/>
        </w:rPr>
        <w:t>ence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harged.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>act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ac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s</w:t>
      </w:r>
      <w:r w:rsidRPr="007E7773">
        <w:rPr>
          <w:rFonts w:ascii="Arial" w:eastAsia="Tahoma" w:hAnsi="Arial" w:cs="Arial"/>
          <w:sz w:val="24"/>
          <w:szCs w:val="24"/>
        </w:rPr>
        <w:t>ed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es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cla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m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ow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>er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property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d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es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not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relieve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prose</w:t>
      </w:r>
      <w:r w:rsidRPr="007E7773">
        <w:rPr>
          <w:rFonts w:ascii="Arial" w:eastAsia="Tahoma" w:hAnsi="Arial" w:cs="Arial"/>
          <w:sz w:val="24"/>
          <w:szCs w:val="24"/>
        </w:rPr>
        <w:t>c</w:t>
      </w:r>
      <w:r w:rsidRPr="007E7773">
        <w:rPr>
          <w:rFonts w:ascii="Arial" w:eastAsia="Tahoma" w:hAnsi="Arial" w:cs="Arial"/>
          <w:sz w:val="24"/>
          <w:szCs w:val="24"/>
        </w:rPr>
        <w:t>u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of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</w:t>
      </w:r>
      <w:r w:rsidRPr="007E7773">
        <w:rPr>
          <w:rFonts w:ascii="Arial" w:eastAsia="Tahoma" w:hAnsi="Arial" w:cs="Arial"/>
          <w:sz w:val="24"/>
          <w:szCs w:val="24"/>
        </w:rPr>
        <w:t>h</w:t>
      </w:r>
      <w:r w:rsidRPr="007E7773">
        <w:rPr>
          <w:rFonts w:ascii="Arial" w:eastAsia="Tahoma" w:hAnsi="Arial" w:cs="Arial"/>
          <w:sz w:val="24"/>
          <w:szCs w:val="24"/>
        </w:rPr>
        <w:t>eir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ob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g</w:t>
      </w:r>
      <w:r w:rsidRPr="007E7773">
        <w:rPr>
          <w:rFonts w:ascii="Arial" w:eastAsia="Tahoma" w:hAnsi="Arial" w:cs="Arial"/>
          <w:sz w:val="24"/>
          <w:szCs w:val="24"/>
        </w:rPr>
        <w:t>at</w:t>
      </w:r>
      <w:r w:rsidRPr="007E7773">
        <w:rPr>
          <w:rFonts w:ascii="Arial" w:eastAsia="Tahoma" w:hAnsi="Arial" w:cs="Arial"/>
          <w:sz w:val="24"/>
          <w:szCs w:val="24"/>
        </w:rPr>
        <w:t>i</w:t>
      </w:r>
      <w:r w:rsidRPr="007E7773">
        <w:rPr>
          <w:rFonts w:ascii="Arial" w:eastAsia="Tahoma" w:hAnsi="Arial" w:cs="Arial"/>
          <w:sz w:val="24"/>
          <w:szCs w:val="24"/>
        </w:rPr>
        <w:t>on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to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prove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the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a</w:t>
      </w:r>
      <w:r w:rsidRPr="007E7773">
        <w:rPr>
          <w:rFonts w:ascii="Arial" w:eastAsia="Tahoma" w:hAnsi="Arial" w:cs="Arial"/>
          <w:sz w:val="24"/>
          <w:szCs w:val="24"/>
        </w:rPr>
        <w:t>b</w:t>
      </w:r>
      <w:r w:rsidRPr="007E7773">
        <w:rPr>
          <w:rFonts w:ascii="Arial" w:eastAsia="Tahoma" w:hAnsi="Arial" w:cs="Arial"/>
          <w:sz w:val="24"/>
          <w:szCs w:val="24"/>
        </w:rPr>
        <w:t>o</w:t>
      </w:r>
      <w:r w:rsidRPr="007E7773">
        <w:rPr>
          <w:rFonts w:ascii="Arial" w:eastAsia="Tahoma" w:hAnsi="Arial" w:cs="Arial"/>
          <w:sz w:val="24"/>
          <w:szCs w:val="24"/>
        </w:rPr>
        <w:t>ve</w:t>
      </w:r>
      <w:r w:rsidRPr="007E7773">
        <w:rPr>
          <w:rFonts w:ascii="Arial" w:eastAsia="Tahoma" w:hAnsi="Arial" w:cs="Arial"/>
          <w:sz w:val="24"/>
          <w:szCs w:val="24"/>
        </w:rPr>
        <w:t xml:space="preserve"> </w:t>
      </w:r>
      <w:r w:rsidRPr="007E7773">
        <w:rPr>
          <w:rFonts w:ascii="Arial" w:eastAsia="Tahoma" w:hAnsi="Arial" w:cs="Arial"/>
          <w:sz w:val="24"/>
          <w:szCs w:val="24"/>
        </w:rPr>
        <w:t>e</w:t>
      </w:r>
      <w:r w:rsidRPr="007E7773">
        <w:rPr>
          <w:rFonts w:ascii="Arial" w:eastAsia="Tahoma" w:hAnsi="Arial" w:cs="Arial"/>
          <w:sz w:val="24"/>
          <w:szCs w:val="24"/>
        </w:rPr>
        <w:t>l</w:t>
      </w:r>
      <w:r w:rsidRPr="007E7773">
        <w:rPr>
          <w:rFonts w:ascii="Arial" w:eastAsia="Tahoma" w:hAnsi="Arial" w:cs="Arial"/>
          <w:sz w:val="24"/>
          <w:szCs w:val="24"/>
        </w:rPr>
        <w:t>ements.”</w:t>
      </w:r>
    </w:p>
    <w:p w:rsidR="001C11FD" w:rsidRPr="007E7773" w:rsidRDefault="00953AC6">
      <w:pPr>
        <w:pStyle w:val="BodyText"/>
        <w:spacing w:before="11" w:line="479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so,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Ally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kari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Another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199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10,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Mwita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Wambura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5</w:t>
      </w:r>
      <w:r w:rsidRPr="007E7773">
        <w:rPr>
          <w:rFonts w:ascii="Arial" w:hAnsi="Arial" w:cs="Arial"/>
          <w:sz w:val="24"/>
          <w:szCs w:val="24"/>
        </w:rPr>
        <w:t>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1992,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Alhaj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@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sumari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Oth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Crim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>36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2009,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om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ra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s/o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Murosu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Wambura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s/o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gwama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Crim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115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2005,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Joseph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era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Liumile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.R</w:t>
      </w:r>
      <w:proofErr w:type="spellEnd"/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Crim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Appeal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304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2013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unreported</w:t>
      </w:r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George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ward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Komouski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.,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>948)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TLR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3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>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tc.</w:t>
      </w:r>
    </w:p>
    <w:p w:rsidR="001C11FD" w:rsidRPr="007E7773" w:rsidRDefault="00953AC6">
      <w:pPr>
        <w:pStyle w:val="BodyText"/>
        <w:spacing w:before="1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luc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eiterated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Joseph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era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Liumile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upra</w:t>
      </w:r>
      <w:r w:rsidRPr="007E7773">
        <w:rPr>
          <w:rFonts w:ascii="Arial" w:hAnsi="Arial" w:cs="Arial"/>
          <w:sz w:val="24"/>
          <w:szCs w:val="24"/>
        </w:rPr>
        <w:t>):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8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Heading1"/>
        <w:spacing w:before="60" w:line="462" w:lineRule="auto"/>
        <w:ind w:right="1556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lastRenderedPageBreak/>
        <w:t>“…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presumpt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gui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arise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cogent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essed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accused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very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stolen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during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com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issi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ff</w:t>
      </w:r>
      <w:r w:rsidRPr="007E7773">
        <w:rPr>
          <w:rFonts w:ascii="Arial" w:hAnsi="Arial" w:cs="Arial"/>
          <w:sz w:val="24"/>
          <w:szCs w:val="24"/>
        </w:rPr>
        <w:t>enc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ubt,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prosecution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hich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assumes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urd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uch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irrespective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vent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here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acc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sed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es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cla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ow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ership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property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>”</w:t>
      </w:r>
    </w:p>
    <w:p w:rsidR="001C11FD" w:rsidRPr="007E7773" w:rsidRDefault="00953AC6">
      <w:pPr>
        <w:pStyle w:val="BodyText"/>
        <w:spacing w:before="9"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correctly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itt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counsel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ho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decid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ou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tructive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prosecution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ysma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led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second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ing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edien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s of</w:t>
      </w:r>
      <w:r w:rsidR="007E7773"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ctrine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eluci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Joseph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kumbwa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case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(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upr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)</w:t>
      </w:r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5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9792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D/Sgt.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Chrisostom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as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re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dy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own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ove.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de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1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>a</w:t>
      </w:r>
      <w:proofErr w:type="spellEnd"/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 p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rported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ow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 e</w:t>
      </w:r>
      <w:r w:rsidRPr="007E7773">
        <w:rPr>
          <w:rFonts w:ascii="Arial" w:hAnsi="Arial" w:cs="Arial"/>
          <w:sz w:val="24"/>
          <w:szCs w:val="24"/>
        </w:rPr>
        <w:t>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P2,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isow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ed,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ex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equiv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cal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declaring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>:</w:t>
      </w:r>
      <w:r w:rsidRPr="007E7773">
        <w:rPr>
          <w:rFonts w:ascii="Arial" w:hAnsi="Arial" w:cs="Arial"/>
          <w:sz w:val="24"/>
          <w:szCs w:val="24"/>
        </w:rPr>
        <w:t>-</w:t>
      </w:r>
    </w:p>
    <w:p w:rsidR="001C11FD" w:rsidRPr="007E7773" w:rsidRDefault="001C11FD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Heading1"/>
        <w:ind w:left="227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“…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sto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en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engine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efore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urt.”</w:t>
      </w:r>
    </w:p>
    <w:p w:rsidR="001C11FD" w:rsidRPr="007E7773" w:rsidRDefault="001C11FD">
      <w:pPr>
        <w:spacing w:before="1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Need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re?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bel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eve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not.</w:t>
      </w: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From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ove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analysis,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increasing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ob</w:t>
      </w:r>
      <w:r w:rsidRPr="007E7773">
        <w:rPr>
          <w:rFonts w:ascii="Arial" w:hAnsi="Arial" w:cs="Arial"/>
          <w:sz w:val="24"/>
          <w:szCs w:val="24"/>
        </w:rPr>
        <w:t>v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at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ctrine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recent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ession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was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rongly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inv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ked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here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to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icate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ell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with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Mayenga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Regu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@</w:t>
      </w:r>
      <w:r w:rsidRPr="007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773">
        <w:rPr>
          <w:rFonts w:ascii="Arial" w:hAnsi="Arial" w:cs="Arial"/>
          <w:sz w:val="24"/>
          <w:szCs w:val="24"/>
        </w:rPr>
        <w:t>Mati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</w:t>
      </w:r>
      <w:proofErr w:type="spellEnd"/>
      <w:r w:rsidRPr="007E7773">
        <w:rPr>
          <w:rFonts w:ascii="Arial" w:hAnsi="Arial" w:cs="Arial"/>
          <w:sz w:val="24"/>
          <w:szCs w:val="24"/>
        </w:rPr>
        <w:t>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our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respect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learned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tri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j</w:t>
      </w:r>
      <w:r w:rsidRPr="007E7773">
        <w:rPr>
          <w:rFonts w:ascii="Arial" w:hAnsi="Arial" w:cs="Arial"/>
          <w:sz w:val="24"/>
          <w:szCs w:val="24"/>
        </w:rPr>
        <w:t>udge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properly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uated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evi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ence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record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ered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ani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ous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op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nion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</w:p>
    <w:p w:rsidR="001C11FD" w:rsidRPr="007E7773" w:rsidRDefault="001C11FD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C11FD" w:rsidRPr="007E7773">
          <w:pgSz w:w="12240" w:h="15840"/>
          <w:pgMar w:top="560" w:right="1140" w:bottom="1200" w:left="1060" w:header="0" w:footer="1015" w:gutter="0"/>
          <w:cols w:space="720"/>
        </w:sectPr>
      </w:pPr>
    </w:p>
    <w:p w:rsidR="001C11FD" w:rsidRPr="007E7773" w:rsidRDefault="00953AC6">
      <w:pPr>
        <w:pStyle w:val="BodyText"/>
        <w:spacing w:before="50" w:line="479" w:lineRule="auto"/>
        <w:ind w:right="126"/>
        <w:rPr>
          <w:rFonts w:ascii="Arial" w:hAnsi="Arial" w:cs="Arial"/>
          <w:sz w:val="24"/>
          <w:szCs w:val="24"/>
        </w:rPr>
      </w:pPr>
      <w:proofErr w:type="gramStart"/>
      <w:r w:rsidRPr="007E7773">
        <w:rPr>
          <w:rFonts w:ascii="Arial" w:hAnsi="Arial" w:cs="Arial"/>
          <w:sz w:val="24"/>
          <w:szCs w:val="24"/>
        </w:rPr>
        <w:lastRenderedPageBreak/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proofErr w:type="gram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asse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sors,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ould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not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have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convicted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murder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kindred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ff</w:t>
      </w:r>
      <w:r w:rsidRPr="007E7773">
        <w:rPr>
          <w:rFonts w:ascii="Arial" w:hAnsi="Arial" w:cs="Arial"/>
          <w:sz w:val="24"/>
          <w:szCs w:val="24"/>
        </w:rPr>
        <w:t>ence.</w:t>
      </w:r>
    </w:p>
    <w:p w:rsidR="001C11FD" w:rsidRPr="007E7773" w:rsidRDefault="00953AC6">
      <w:pPr>
        <w:pStyle w:val="BodyText"/>
        <w:spacing w:before="2" w:line="479" w:lineRule="auto"/>
        <w:ind w:right="119" w:firstLine="720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said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and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peal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its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tirety.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p</w:t>
      </w:r>
      <w:r w:rsidRPr="007E7773">
        <w:rPr>
          <w:rFonts w:ascii="Arial" w:hAnsi="Arial" w:cs="Arial"/>
          <w:sz w:val="24"/>
          <w:szCs w:val="24"/>
        </w:rPr>
        <w:t>pel</w:t>
      </w:r>
      <w:r w:rsidRPr="007E7773">
        <w:rPr>
          <w:rFonts w:ascii="Arial" w:hAnsi="Arial" w:cs="Arial"/>
          <w:sz w:val="24"/>
          <w:szCs w:val="24"/>
        </w:rPr>
        <w:t>l</w:t>
      </w:r>
      <w:r w:rsidRPr="007E7773">
        <w:rPr>
          <w:rFonts w:ascii="Arial" w:hAnsi="Arial" w:cs="Arial"/>
          <w:sz w:val="24"/>
          <w:szCs w:val="24"/>
        </w:rPr>
        <w:t>ant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ould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immediately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elea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rom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pri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on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le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th</w:t>
      </w:r>
      <w:r w:rsidRPr="007E7773">
        <w:rPr>
          <w:rFonts w:ascii="Arial" w:hAnsi="Arial" w:cs="Arial"/>
          <w:sz w:val="24"/>
          <w:szCs w:val="24"/>
        </w:rPr>
        <w:t>er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la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>u</w:t>
      </w:r>
      <w:r w:rsidRPr="007E7773">
        <w:rPr>
          <w:rFonts w:ascii="Arial" w:hAnsi="Arial" w:cs="Arial"/>
          <w:sz w:val="24"/>
          <w:szCs w:val="24"/>
        </w:rPr>
        <w:t>lly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h</w:t>
      </w:r>
      <w:r w:rsidRPr="007E7773">
        <w:rPr>
          <w:rFonts w:ascii="Arial" w:hAnsi="Arial" w:cs="Arial"/>
          <w:sz w:val="24"/>
          <w:szCs w:val="24"/>
        </w:rPr>
        <w:t>eld.</w:t>
      </w:r>
    </w:p>
    <w:p w:rsidR="001C11FD" w:rsidRPr="007E7773" w:rsidRDefault="00953AC6">
      <w:pPr>
        <w:pStyle w:val="BodyText"/>
        <w:spacing w:line="316" w:lineRule="exact"/>
        <w:ind w:left="83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DATED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</w:t>
      </w:r>
      <w:r w:rsidRPr="007E7773">
        <w:rPr>
          <w:rFonts w:ascii="Arial" w:hAnsi="Arial" w:cs="Arial"/>
          <w:sz w:val="24"/>
          <w:szCs w:val="24"/>
        </w:rPr>
        <w:t>W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Z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18</w:t>
      </w:r>
      <w:proofErr w:type="spellStart"/>
      <w:r w:rsidRPr="007E7773">
        <w:rPr>
          <w:rFonts w:ascii="Arial" w:hAnsi="Arial" w:cs="Arial"/>
          <w:sz w:val="24"/>
          <w:szCs w:val="24"/>
        </w:rPr>
        <w:t>th</w:t>
      </w:r>
      <w:proofErr w:type="spellEnd"/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d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Octo</w:t>
      </w:r>
      <w:r w:rsidRPr="007E7773">
        <w:rPr>
          <w:rFonts w:ascii="Arial" w:hAnsi="Arial" w:cs="Arial"/>
          <w:sz w:val="24"/>
          <w:szCs w:val="24"/>
        </w:rPr>
        <w:t>b</w:t>
      </w:r>
      <w:r w:rsidRPr="007E7773">
        <w:rPr>
          <w:rFonts w:ascii="Arial" w:hAnsi="Arial" w:cs="Arial"/>
          <w:sz w:val="24"/>
          <w:szCs w:val="24"/>
        </w:rPr>
        <w:t>er,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2016.</w:t>
      </w:r>
    </w:p>
    <w:p w:rsidR="001C11FD" w:rsidRPr="007E7773" w:rsidRDefault="001C11FD">
      <w:pPr>
        <w:spacing w:before="2" w:line="11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ind w:left="260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E.M.K.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RUTA</w:t>
      </w:r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>N</w:t>
      </w:r>
      <w:r w:rsidRPr="007E7773">
        <w:rPr>
          <w:rFonts w:ascii="Arial" w:hAnsi="Arial" w:cs="Arial"/>
          <w:sz w:val="24"/>
          <w:szCs w:val="24"/>
        </w:rPr>
        <w:t>GW</w:t>
      </w:r>
      <w:r w:rsidRPr="007E7773">
        <w:rPr>
          <w:rFonts w:ascii="Arial" w:hAnsi="Arial" w:cs="Arial"/>
          <w:sz w:val="24"/>
          <w:szCs w:val="24"/>
        </w:rPr>
        <w:t>A</w:t>
      </w:r>
    </w:p>
    <w:p w:rsidR="001C11FD" w:rsidRPr="00F95ABA" w:rsidRDefault="00953AC6">
      <w:pPr>
        <w:pStyle w:val="BodyText"/>
        <w:ind w:left="3830" w:right="3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5ABA">
        <w:rPr>
          <w:rFonts w:ascii="Arial" w:hAnsi="Arial" w:cs="Arial"/>
          <w:b/>
          <w:sz w:val="24"/>
          <w:szCs w:val="24"/>
          <w:u w:val="single"/>
        </w:rPr>
        <w:t>JUSTICE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OF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AP</w:t>
      </w:r>
      <w:r w:rsidRPr="00F95ABA">
        <w:rPr>
          <w:rFonts w:ascii="Arial" w:hAnsi="Arial" w:cs="Arial"/>
          <w:b/>
          <w:sz w:val="24"/>
          <w:szCs w:val="24"/>
          <w:u w:val="single"/>
        </w:rPr>
        <w:t>P</w:t>
      </w:r>
      <w:r w:rsidRPr="00F95ABA">
        <w:rPr>
          <w:rFonts w:ascii="Arial" w:hAnsi="Arial" w:cs="Arial"/>
          <w:b/>
          <w:sz w:val="24"/>
          <w:szCs w:val="24"/>
          <w:u w:val="single"/>
        </w:rPr>
        <w:t>EAL</w:t>
      </w:r>
    </w:p>
    <w:p w:rsidR="001C11FD" w:rsidRPr="007E7773" w:rsidRDefault="001C11FD">
      <w:pPr>
        <w:spacing w:before="3" w:line="17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/>
        <w:ind w:left="259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S.A.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MASSA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I</w:t>
      </w:r>
    </w:p>
    <w:p w:rsidR="001C11FD" w:rsidRPr="00F95ABA" w:rsidRDefault="00953AC6">
      <w:pPr>
        <w:pStyle w:val="BodyText"/>
        <w:ind w:left="3830" w:right="3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5ABA">
        <w:rPr>
          <w:rFonts w:ascii="Arial" w:hAnsi="Arial" w:cs="Arial"/>
          <w:b/>
          <w:sz w:val="24"/>
          <w:szCs w:val="24"/>
          <w:u w:val="single"/>
        </w:rPr>
        <w:t>JUSTICE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OF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AP</w:t>
      </w:r>
      <w:r w:rsidRPr="00F95ABA">
        <w:rPr>
          <w:rFonts w:ascii="Arial" w:hAnsi="Arial" w:cs="Arial"/>
          <w:b/>
          <w:sz w:val="24"/>
          <w:szCs w:val="24"/>
          <w:u w:val="single"/>
        </w:rPr>
        <w:t>P</w:t>
      </w:r>
      <w:r w:rsidRPr="00F95ABA">
        <w:rPr>
          <w:rFonts w:ascii="Arial" w:hAnsi="Arial" w:cs="Arial"/>
          <w:b/>
          <w:sz w:val="24"/>
          <w:szCs w:val="24"/>
          <w:u w:val="single"/>
        </w:rPr>
        <w:t>EAL</w:t>
      </w:r>
    </w:p>
    <w:p w:rsidR="001C11FD" w:rsidRPr="007E7773" w:rsidRDefault="001C11FD">
      <w:pPr>
        <w:spacing w:before="5" w:line="17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/>
        <w:ind w:left="258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S.</w:t>
      </w:r>
      <w:r w:rsidRPr="007E7773">
        <w:rPr>
          <w:rFonts w:ascii="Arial" w:hAnsi="Arial" w:cs="Arial"/>
          <w:sz w:val="24"/>
          <w:szCs w:val="24"/>
        </w:rPr>
        <w:t>E</w:t>
      </w:r>
      <w:r w:rsidRPr="007E7773">
        <w:rPr>
          <w:rFonts w:ascii="Arial" w:hAnsi="Arial" w:cs="Arial"/>
          <w:sz w:val="24"/>
          <w:szCs w:val="24"/>
        </w:rPr>
        <w:t>.A.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MUGASHA</w:t>
      </w:r>
    </w:p>
    <w:p w:rsidR="001C11FD" w:rsidRPr="00F95ABA" w:rsidRDefault="00953AC6">
      <w:pPr>
        <w:pStyle w:val="BodyText"/>
        <w:spacing w:line="312" w:lineRule="exact"/>
        <w:ind w:left="3830" w:right="3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5ABA">
        <w:rPr>
          <w:rFonts w:ascii="Arial" w:hAnsi="Arial" w:cs="Arial"/>
          <w:b/>
          <w:sz w:val="24"/>
          <w:szCs w:val="24"/>
          <w:u w:val="single"/>
        </w:rPr>
        <w:t>JUSTICE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OF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AP</w:t>
      </w:r>
      <w:r w:rsidRPr="00F95ABA">
        <w:rPr>
          <w:rFonts w:ascii="Arial" w:hAnsi="Arial" w:cs="Arial"/>
          <w:b/>
          <w:sz w:val="24"/>
          <w:szCs w:val="24"/>
          <w:u w:val="single"/>
        </w:rPr>
        <w:t>P</w:t>
      </w:r>
      <w:r w:rsidRPr="00F95ABA">
        <w:rPr>
          <w:rFonts w:ascii="Arial" w:hAnsi="Arial" w:cs="Arial"/>
          <w:b/>
          <w:sz w:val="24"/>
          <w:szCs w:val="24"/>
          <w:u w:val="single"/>
        </w:rPr>
        <w:t>EAL</w:t>
      </w:r>
    </w:p>
    <w:p w:rsidR="001C11FD" w:rsidRPr="007E7773" w:rsidRDefault="001C11FD">
      <w:pPr>
        <w:spacing w:before="5" w:line="17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spacing w:before="54"/>
        <w:ind w:left="651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certify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this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s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a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</w:t>
      </w:r>
      <w:r w:rsidRPr="007E7773">
        <w:rPr>
          <w:rFonts w:ascii="Arial" w:hAnsi="Arial" w:cs="Arial"/>
          <w:sz w:val="24"/>
          <w:szCs w:val="24"/>
        </w:rPr>
        <w:t>r</w:t>
      </w:r>
      <w:r w:rsidRPr="007E7773">
        <w:rPr>
          <w:rFonts w:ascii="Arial" w:hAnsi="Arial" w:cs="Arial"/>
          <w:sz w:val="24"/>
          <w:szCs w:val="24"/>
        </w:rPr>
        <w:t>ue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copy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f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the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o</w:t>
      </w:r>
      <w:r w:rsidRPr="007E7773">
        <w:rPr>
          <w:rFonts w:ascii="Arial" w:hAnsi="Arial" w:cs="Arial"/>
          <w:sz w:val="24"/>
          <w:szCs w:val="24"/>
        </w:rPr>
        <w:t>rig</w:t>
      </w:r>
      <w:r w:rsidRPr="007E7773">
        <w:rPr>
          <w:rFonts w:ascii="Arial" w:hAnsi="Arial" w:cs="Arial"/>
          <w:sz w:val="24"/>
          <w:szCs w:val="24"/>
        </w:rPr>
        <w:t>i</w:t>
      </w:r>
      <w:r w:rsidRPr="007E7773">
        <w:rPr>
          <w:rFonts w:ascii="Arial" w:hAnsi="Arial" w:cs="Arial"/>
          <w:sz w:val="24"/>
          <w:szCs w:val="24"/>
        </w:rPr>
        <w:t>nal.</w:t>
      </w:r>
    </w:p>
    <w:p w:rsidR="001C11FD" w:rsidRPr="007E7773" w:rsidRDefault="001C11FD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1C11FD">
      <w:pPr>
        <w:spacing w:line="200" w:lineRule="exact"/>
        <w:rPr>
          <w:rFonts w:ascii="Arial" w:hAnsi="Arial" w:cs="Arial"/>
          <w:sz w:val="24"/>
          <w:szCs w:val="24"/>
        </w:rPr>
      </w:pPr>
    </w:p>
    <w:p w:rsidR="001C11FD" w:rsidRPr="007E7773" w:rsidRDefault="00953AC6">
      <w:pPr>
        <w:pStyle w:val="BodyText"/>
        <w:ind w:left="261"/>
        <w:jc w:val="center"/>
        <w:rPr>
          <w:rFonts w:ascii="Arial" w:hAnsi="Arial" w:cs="Arial"/>
          <w:sz w:val="24"/>
          <w:szCs w:val="24"/>
        </w:rPr>
      </w:pPr>
      <w:r w:rsidRPr="007E7773">
        <w:rPr>
          <w:rFonts w:ascii="Arial" w:hAnsi="Arial" w:cs="Arial"/>
          <w:sz w:val="24"/>
          <w:szCs w:val="24"/>
        </w:rPr>
        <w:t>P.W.</w:t>
      </w:r>
      <w:r w:rsidRPr="007E7773">
        <w:rPr>
          <w:rFonts w:ascii="Arial" w:hAnsi="Arial" w:cs="Arial"/>
          <w:sz w:val="24"/>
          <w:szCs w:val="24"/>
        </w:rPr>
        <w:t xml:space="preserve"> </w:t>
      </w:r>
      <w:r w:rsidRPr="007E7773">
        <w:rPr>
          <w:rFonts w:ascii="Arial" w:hAnsi="Arial" w:cs="Arial"/>
          <w:sz w:val="24"/>
          <w:szCs w:val="24"/>
        </w:rPr>
        <w:t>BAMPI</w:t>
      </w:r>
      <w:r w:rsidRPr="007E7773">
        <w:rPr>
          <w:rFonts w:ascii="Arial" w:hAnsi="Arial" w:cs="Arial"/>
          <w:sz w:val="24"/>
          <w:szCs w:val="24"/>
        </w:rPr>
        <w:t>K</w:t>
      </w:r>
      <w:r w:rsidRPr="007E7773">
        <w:rPr>
          <w:rFonts w:ascii="Arial" w:hAnsi="Arial" w:cs="Arial"/>
          <w:sz w:val="24"/>
          <w:szCs w:val="24"/>
        </w:rPr>
        <w:t>YA</w:t>
      </w:r>
    </w:p>
    <w:p w:rsidR="001C11FD" w:rsidRPr="00F95ABA" w:rsidRDefault="00953AC6">
      <w:pPr>
        <w:pStyle w:val="BodyText"/>
        <w:spacing w:before="7" w:line="314" w:lineRule="exact"/>
        <w:ind w:left="3256" w:right="299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5ABA">
        <w:rPr>
          <w:rFonts w:ascii="Arial" w:hAnsi="Arial" w:cs="Arial"/>
          <w:b/>
          <w:sz w:val="24"/>
          <w:szCs w:val="24"/>
          <w:u w:val="single"/>
        </w:rPr>
        <w:t>S</w:t>
      </w:r>
      <w:r w:rsidRPr="00F95ABA">
        <w:rPr>
          <w:rFonts w:ascii="Arial" w:hAnsi="Arial" w:cs="Arial"/>
          <w:b/>
          <w:sz w:val="24"/>
          <w:szCs w:val="24"/>
          <w:u w:val="single"/>
        </w:rPr>
        <w:t>ENIOR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D</w:t>
      </w:r>
      <w:r w:rsidRPr="00F95ABA">
        <w:rPr>
          <w:rFonts w:ascii="Arial" w:hAnsi="Arial" w:cs="Arial"/>
          <w:b/>
          <w:sz w:val="24"/>
          <w:szCs w:val="24"/>
          <w:u w:val="single"/>
        </w:rPr>
        <w:t>E</w:t>
      </w:r>
      <w:r w:rsidRPr="00F95ABA">
        <w:rPr>
          <w:rFonts w:ascii="Arial" w:hAnsi="Arial" w:cs="Arial"/>
          <w:b/>
          <w:sz w:val="24"/>
          <w:szCs w:val="24"/>
          <w:u w:val="single"/>
        </w:rPr>
        <w:t>PU</w:t>
      </w:r>
      <w:r w:rsidRPr="00F95ABA">
        <w:rPr>
          <w:rFonts w:ascii="Arial" w:hAnsi="Arial" w:cs="Arial"/>
          <w:b/>
          <w:sz w:val="24"/>
          <w:szCs w:val="24"/>
          <w:u w:val="single"/>
        </w:rPr>
        <w:t>T</w:t>
      </w:r>
      <w:r w:rsidRPr="00F95ABA">
        <w:rPr>
          <w:rFonts w:ascii="Arial" w:hAnsi="Arial" w:cs="Arial"/>
          <w:b/>
          <w:sz w:val="24"/>
          <w:szCs w:val="24"/>
          <w:u w:val="single"/>
        </w:rPr>
        <w:t>Y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R</w:t>
      </w:r>
      <w:r w:rsidRPr="00F95ABA">
        <w:rPr>
          <w:rFonts w:ascii="Arial" w:hAnsi="Arial" w:cs="Arial"/>
          <w:b/>
          <w:sz w:val="24"/>
          <w:szCs w:val="24"/>
          <w:u w:val="single"/>
        </w:rPr>
        <w:t>E</w:t>
      </w:r>
      <w:r w:rsidRPr="00F95ABA">
        <w:rPr>
          <w:rFonts w:ascii="Arial" w:hAnsi="Arial" w:cs="Arial"/>
          <w:b/>
          <w:sz w:val="24"/>
          <w:szCs w:val="24"/>
          <w:u w:val="single"/>
        </w:rPr>
        <w:t>G</w:t>
      </w:r>
      <w:r w:rsidRPr="00F95ABA">
        <w:rPr>
          <w:rFonts w:ascii="Arial" w:hAnsi="Arial" w:cs="Arial"/>
          <w:b/>
          <w:sz w:val="24"/>
          <w:szCs w:val="24"/>
          <w:u w:val="single"/>
        </w:rPr>
        <w:t>ISTRAR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COURT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OF</w:t>
      </w:r>
      <w:r w:rsidRPr="00F95A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ABA">
        <w:rPr>
          <w:rFonts w:ascii="Arial" w:hAnsi="Arial" w:cs="Arial"/>
          <w:b/>
          <w:sz w:val="24"/>
          <w:szCs w:val="24"/>
          <w:u w:val="single"/>
        </w:rPr>
        <w:t>AP</w:t>
      </w:r>
      <w:r w:rsidRPr="00F95ABA">
        <w:rPr>
          <w:rFonts w:ascii="Arial" w:hAnsi="Arial" w:cs="Arial"/>
          <w:b/>
          <w:sz w:val="24"/>
          <w:szCs w:val="24"/>
          <w:u w:val="single"/>
        </w:rPr>
        <w:t>P</w:t>
      </w:r>
      <w:r w:rsidRPr="00F95ABA">
        <w:rPr>
          <w:rFonts w:ascii="Arial" w:hAnsi="Arial" w:cs="Arial"/>
          <w:b/>
          <w:sz w:val="24"/>
          <w:szCs w:val="24"/>
          <w:u w:val="single"/>
        </w:rPr>
        <w:t>E</w:t>
      </w:r>
      <w:r w:rsidRPr="00F95ABA">
        <w:rPr>
          <w:rFonts w:ascii="Arial" w:hAnsi="Arial" w:cs="Arial"/>
          <w:b/>
          <w:sz w:val="24"/>
          <w:szCs w:val="24"/>
          <w:u w:val="single"/>
        </w:rPr>
        <w:t>AL</w:t>
      </w:r>
    </w:p>
    <w:sectPr w:rsidR="001C11FD" w:rsidRPr="00F95ABA">
      <w:pgSz w:w="12240" w:h="15840"/>
      <w:pgMar w:top="580" w:right="1140" w:bottom="1200" w:left="10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C6" w:rsidRDefault="00953AC6">
      <w:r>
        <w:separator/>
      </w:r>
    </w:p>
  </w:endnote>
  <w:endnote w:type="continuationSeparator" w:id="0">
    <w:p w:rsidR="00953AC6" w:rsidRDefault="0095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15pt;margin-top:730.25pt;width:9.6pt;height:13.05pt;z-index:-251662336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F95ABA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15pt;margin-top:730.25pt;width:7.6pt;height:13.05pt;z-index:-251661312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55pt;margin-top:701.5pt;width:381.05pt;height:14.95pt;z-index:-251660288;mso-position-horizontal-relative:page;mso-position-vertical-relative:page" filled="f" stroked="f">
          <v:textbox inset="0,0,0,0">
            <w:txbxContent>
              <w:p w:rsidR="001C11FD" w:rsidRDefault="00953AC6">
                <w:pPr>
                  <w:pStyle w:val="BodyText"/>
                  <w:spacing w:line="289" w:lineRule="exact"/>
                  <w:ind w:left="20"/>
                  <w:rPr>
                    <w:rFonts w:cs="Tahoma"/>
                  </w:rPr>
                </w:pPr>
                <w:proofErr w:type="gramStart"/>
                <w:r>
                  <w:t>t</w:t>
                </w:r>
                <w:r>
                  <w:rPr>
                    <w:spacing w:val="-1"/>
                  </w:rPr>
                  <w:t>h</w:t>
                </w:r>
                <w:r>
                  <w:t>e</w:t>
                </w:r>
                <w:proofErr w:type="gramEnd"/>
                <w:r>
                  <w:rPr>
                    <w:spacing w:val="-5"/>
                  </w:rPr>
                  <w:t xml:space="preserve"> </w:t>
                </w:r>
                <w:r>
                  <w:t>Crim</w:t>
                </w:r>
                <w:r>
                  <w:rPr>
                    <w:spacing w:val="1"/>
                  </w:rPr>
                  <w:t>i</w:t>
                </w:r>
                <w:r>
                  <w:t>nal</w:t>
                </w:r>
                <w:r>
                  <w:rPr>
                    <w:spacing w:val="-5"/>
                  </w:rPr>
                  <w:t xml:space="preserve"> </w:t>
                </w:r>
                <w:r>
                  <w:t>Procedure</w:t>
                </w:r>
                <w:r>
                  <w:rPr>
                    <w:spacing w:val="-5"/>
                  </w:rPr>
                  <w:t xml:space="preserve"> </w:t>
                </w:r>
                <w:r>
                  <w:t>Act.</w:t>
                </w:r>
                <w:r>
                  <w:rPr>
                    <w:spacing w:val="-3"/>
                  </w:rPr>
                  <w:t xml:space="preserve"> </w:t>
                </w:r>
                <w:r>
                  <w:t>Cap.</w:t>
                </w:r>
                <w:r>
                  <w:rPr>
                    <w:spacing w:val="-5"/>
                  </w:rPr>
                  <w:t xml:space="preserve"> </w:t>
                </w:r>
                <w:r>
                  <w:t>20,</w:t>
                </w:r>
                <w:r>
                  <w:rPr>
                    <w:spacing w:val="-5"/>
                  </w:rPr>
                  <w:t xml:space="preserve"> </w:t>
                </w:r>
                <w:r>
                  <w:t>Vo</w:t>
                </w:r>
                <w:r>
                  <w:rPr>
                    <w:spacing w:val="1"/>
                  </w:rPr>
                  <w:t>l</w:t>
                </w:r>
                <w:r>
                  <w:t>.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rFonts w:cs="Tahoma"/>
                  </w:rPr>
                  <w:t>1</w:t>
                </w:r>
                <w:r>
                  <w:rPr>
                    <w:rFonts w:cs="Tahoma"/>
                    <w:spacing w:val="-6"/>
                  </w:rPr>
                  <w:t xml:space="preserve"> </w:t>
                </w:r>
                <w:r>
                  <w:rPr>
                    <w:rFonts w:cs="Tahoma"/>
                  </w:rPr>
                  <w:t>R.E.</w:t>
                </w:r>
                <w:r>
                  <w:rPr>
                    <w:rFonts w:cs="Tahoma"/>
                    <w:spacing w:val="-6"/>
                  </w:rPr>
                  <w:t xml:space="preserve"> </w:t>
                </w:r>
                <w:r>
                  <w:rPr>
                    <w:rFonts w:cs="Tahoma"/>
                  </w:rPr>
                  <w:t>2002</w:t>
                </w:r>
                <w:r>
                  <w:rPr>
                    <w:rFonts w:cs="Tahoma"/>
                    <w:spacing w:val="-6"/>
                  </w:rPr>
                  <w:t xml:space="preserve"> </w:t>
                </w:r>
                <w:r>
                  <w:rPr>
                    <w:rFonts w:cs="Tahoma"/>
                    <w:spacing w:val="-1"/>
                  </w:rPr>
                  <w:t>(</w:t>
                </w:r>
                <w:r>
                  <w:rPr>
                    <w:rFonts w:cs="Tahoma"/>
                  </w:rPr>
                  <w:t>“</w:t>
                </w:r>
                <w:r>
                  <w:rPr>
                    <w:rFonts w:cs="Tahoma"/>
                    <w:spacing w:val="1"/>
                  </w:rPr>
                  <w:t>t</w:t>
                </w:r>
                <w:r>
                  <w:rPr>
                    <w:rFonts w:cs="Tahoma"/>
                  </w:rPr>
                  <w:t>he</w:t>
                </w:r>
                <w:r>
                  <w:rPr>
                    <w:rFonts w:cs="Tahoma"/>
                    <w:spacing w:val="-6"/>
                  </w:rPr>
                  <w:t xml:space="preserve"> </w:t>
                </w:r>
                <w:r>
                  <w:rPr>
                    <w:rFonts w:cs="Tahoma"/>
                  </w:rPr>
                  <w:t>C</w:t>
                </w:r>
                <w:r>
                  <w:rPr>
                    <w:rFonts w:cs="Tahoma"/>
                    <w:spacing w:val="1"/>
                  </w:rPr>
                  <w:t>P</w:t>
                </w:r>
                <w:r>
                  <w:rPr>
                    <w:rFonts w:cs="Tahoma"/>
                  </w:rPr>
                  <w:t>A”</w:t>
                </w:r>
                <w:r>
                  <w:rPr>
                    <w:rFonts w:cs="Tahoma"/>
                    <w:spacing w:val="-2"/>
                  </w:rPr>
                  <w:t>)</w:t>
                </w:r>
                <w:r>
                  <w:rPr>
                    <w:rFonts w:cs="Tahom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9.15pt;margin-top:730.25pt;width:9.6pt;height:13.05pt;z-index:-251659264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F95ABA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15pt;margin-top:730.25pt;width:9.6pt;height:13.05pt;z-index:-251658240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F95ABA">
                  <w:rPr>
                    <w:rFonts w:ascii="Calibri" w:eastAsia="Calibri" w:hAnsi="Calibri" w:cs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15pt;margin-top:730.25pt;width:7.6pt;height:13.05pt;z-index:-251657216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25pt;margin-top:730.25pt;width:13.3pt;height:13.05pt;z-index:-251656192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D" w:rsidRDefault="00953A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730.25pt;width:15.3pt;height:13.05pt;z-index:-251655168;mso-position-horizontal-relative:page;mso-position-vertical-relative:page" filled="f" stroked="f">
          <v:textbox inset="0,0,0,0">
            <w:txbxContent>
              <w:p w:rsidR="001C11FD" w:rsidRDefault="00953AC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F95ABA">
                  <w:rPr>
                    <w:rFonts w:ascii="Calibri" w:eastAsia="Calibri" w:hAnsi="Calibri" w:cs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C6" w:rsidRDefault="00953AC6">
      <w:r>
        <w:separator/>
      </w:r>
    </w:p>
  </w:footnote>
  <w:footnote w:type="continuationSeparator" w:id="0">
    <w:p w:rsidR="00953AC6" w:rsidRDefault="0095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461DD"/>
    <w:multiLevelType w:val="hybridMultilevel"/>
    <w:tmpl w:val="686A1490"/>
    <w:lvl w:ilvl="0" w:tplc="53C8BA22">
      <w:start w:val="1"/>
      <w:numFmt w:val="lowerRoman"/>
      <w:lvlText w:val="(%1)"/>
      <w:lvlJc w:val="left"/>
      <w:pPr>
        <w:ind w:hanging="706"/>
        <w:jc w:val="right"/>
      </w:pPr>
      <w:rPr>
        <w:rFonts w:ascii="Tahoma" w:eastAsia="Tahoma" w:hAnsi="Tahoma" w:hint="default"/>
        <w:spacing w:val="-1"/>
        <w:w w:val="96"/>
        <w:sz w:val="27"/>
        <w:szCs w:val="27"/>
      </w:rPr>
    </w:lvl>
    <w:lvl w:ilvl="1" w:tplc="52F25CE8">
      <w:start w:val="1"/>
      <w:numFmt w:val="bullet"/>
      <w:lvlText w:val="•"/>
      <w:lvlJc w:val="left"/>
      <w:rPr>
        <w:rFonts w:hint="default"/>
      </w:rPr>
    </w:lvl>
    <w:lvl w:ilvl="2" w:tplc="93C20B54">
      <w:start w:val="1"/>
      <w:numFmt w:val="bullet"/>
      <w:lvlText w:val="•"/>
      <w:lvlJc w:val="left"/>
      <w:rPr>
        <w:rFonts w:hint="default"/>
      </w:rPr>
    </w:lvl>
    <w:lvl w:ilvl="3" w:tplc="02B41C18">
      <w:start w:val="1"/>
      <w:numFmt w:val="bullet"/>
      <w:lvlText w:val="•"/>
      <w:lvlJc w:val="left"/>
      <w:rPr>
        <w:rFonts w:hint="default"/>
      </w:rPr>
    </w:lvl>
    <w:lvl w:ilvl="4" w:tplc="461E5E40">
      <w:start w:val="1"/>
      <w:numFmt w:val="bullet"/>
      <w:lvlText w:val="•"/>
      <w:lvlJc w:val="left"/>
      <w:rPr>
        <w:rFonts w:hint="default"/>
      </w:rPr>
    </w:lvl>
    <w:lvl w:ilvl="5" w:tplc="1480B0BE">
      <w:start w:val="1"/>
      <w:numFmt w:val="bullet"/>
      <w:lvlText w:val="•"/>
      <w:lvlJc w:val="left"/>
      <w:rPr>
        <w:rFonts w:hint="default"/>
      </w:rPr>
    </w:lvl>
    <w:lvl w:ilvl="6" w:tplc="F30CC9FA">
      <w:start w:val="1"/>
      <w:numFmt w:val="bullet"/>
      <w:lvlText w:val="•"/>
      <w:lvlJc w:val="left"/>
      <w:rPr>
        <w:rFonts w:hint="default"/>
      </w:rPr>
    </w:lvl>
    <w:lvl w:ilvl="7" w:tplc="1CC4F7EA">
      <w:start w:val="1"/>
      <w:numFmt w:val="bullet"/>
      <w:lvlText w:val="•"/>
      <w:lvlJc w:val="left"/>
      <w:rPr>
        <w:rFonts w:hint="default"/>
      </w:rPr>
    </w:lvl>
    <w:lvl w:ilvl="8" w:tplc="8268375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11FD"/>
    <w:rsid w:val="001C11FD"/>
    <w:rsid w:val="007E7773"/>
    <w:rsid w:val="00953AC6"/>
    <w:rsid w:val="00C933ED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1431CB2-7A86-4022-A8C6-49D4026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ascii="Tahoma" w:eastAsia="Tahoma" w:hAnsi="Tahom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PS-GIFT</dc:creator>
  <cp:lastModifiedBy>Admin</cp:lastModifiedBy>
  <cp:revision>4</cp:revision>
  <dcterms:created xsi:type="dcterms:W3CDTF">2017-03-01T21:25:00Z</dcterms:created>
  <dcterms:modified xsi:type="dcterms:W3CDTF">2017-03-13T08:48:00Z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