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2997" w14:textId="77777777" w:rsidR="00FD1C8C" w:rsidRDefault="00FD1C8C">
      <w:pPr>
        <w:spacing w:line="1" w:lineRule="exact"/>
      </w:pPr>
    </w:p>
    <w:p w14:paraId="02954972" w14:textId="77777777" w:rsidR="00FD1C8C" w:rsidRDefault="00242506">
      <w:pPr>
        <w:pStyle w:val="BodyText"/>
        <w:framePr w:w="9139" w:h="5640" w:hRule="exact" w:wrap="none" w:vAnchor="page" w:hAnchor="page" w:x="1407" w:y="1166"/>
        <w:spacing w:line="240" w:lineRule="auto"/>
        <w:ind w:firstLine="0"/>
        <w:jc w:val="center"/>
        <w:rPr>
          <w:sz w:val="28"/>
          <w:szCs w:val="28"/>
        </w:rPr>
      </w:pPr>
      <w:r>
        <w:rPr>
          <w:b/>
          <w:bCs/>
          <w:sz w:val="28"/>
          <w:szCs w:val="28"/>
        </w:rPr>
        <w:t>IN THE HIGH COURT OF TANZANIA</w:t>
      </w:r>
      <w:r>
        <w:rPr>
          <w:b/>
          <w:bCs/>
          <w:sz w:val="28"/>
          <w:szCs w:val="28"/>
        </w:rPr>
        <w:br/>
        <w:t>(MAIN REGISTRY)</w:t>
      </w:r>
      <w:r>
        <w:rPr>
          <w:b/>
          <w:bCs/>
          <w:sz w:val="28"/>
          <w:szCs w:val="28"/>
        </w:rPr>
        <w:br/>
      </w:r>
      <w:r>
        <w:rPr>
          <w:b/>
          <w:bCs/>
          <w:sz w:val="28"/>
          <w:szCs w:val="28"/>
          <w:u w:val="single"/>
        </w:rPr>
        <w:t>AT PAR ES SALAAM</w:t>
      </w:r>
    </w:p>
    <w:p w14:paraId="342F47BF" w14:textId="2A126D9A" w:rsidR="00FD1C8C" w:rsidRDefault="00543279">
      <w:pPr>
        <w:pStyle w:val="BodyText"/>
        <w:framePr w:w="9139" w:h="5640" w:hRule="exact" w:wrap="none" w:vAnchor="page" w:hAnchor="page" w:x="1407" w:y="1166"/>
        <w:spacing w:after="180" w:line="262" w:lineRule="auto"/>
        <w:ind w:firstLine="0"/>
        <w:jc w:val="center"/>
        <w:rPr>
          <w:sz w:val="28"/>
          <w:szCs w:val="28"/>
        </w:rPr>
      </w:pPr>
      <w:r>
        <w:rPr>
          <w:b/>
          <w:bCs/>
          <w:sz w:val="28"/>
          <w:szCs w:val="28"/>
        </w:rPr>
        <w:t>MISCELLANEOUS CAUSE NO</w:t>
      </w:r>
      <w:r w:rsidR="00242506">
        <w:rPr>
          <w:b/>
          <w:bCs/>
          <w:sz w:val="28"/>
          <w:szCs w:val="28"/>
        </w:rPr>
        <w:t>. 26 OF 2021</w:t>
      </w:r>
    </w:p>
    <w:p w14:paraId="14E0401C" w14:textId="77777777" w:rsidR="00FD1C8C" w:rsidRDefault="00242506">
      <w:pPr>
        <w:pStyle w:val="BodyText"/>
        <w:framePr w:w="9139" w:h="5640" w:hRule="exact" w:wrap="none" w:vAnchor="page" w:hAnchor="page" w:x="1407" w:y="1166"/>
        <w:spacing w:after="0" w:line="240" w:lineRule="auto"/>
        <w:ind w:left="1400" w:hanging="1400"/>
        <w:rPr>
          <w:sz w:val="28"/>
          <w:szCs w:val="28"/>
        </w:rPr>
      </w:pPr>
      <w:r>
        <w:rPr>
          <w:b/>
          <w:bCs/>
          <w:sz w:val="28"/>
          <w:szCs w:val="28"/>
        </w:rPr>
        <w:t>IN THE MATTER OF AN APPLICATION FOR LEAVE TO APPLY FOR ORDERS OF MANDAMUS AND PROHIBITION</w:t>
      </w:r>
    </w:p>
    <w:p w14:paraId="7A0834DB" w14:textId="77777777" w:rsidR="00FD1C8C" w:rsidRDefault="00242506">
      <w:pPr>
        <w:pStyle w:val="BodyText"/>
        <w:framePr w:w="9139" w:h="5640" w:hRule="exact" w:wrap="none" w:vAnchor="page" w:hAnchor="page" w:x="1407" w:y="1166"/>
        <w:spacing w:after="180" w:line="240" w:lineRule="auto"/>
        <w:ind w:firstLine="0"/>
        <w:jc w:val="center"/>
        <w:rPr>
          <w:sz w:val="28"/>
          <w:szCs w:val="28"/>
        </w:rPr>
      </w:pPr>
      <w:r>
        <w:rPr>
          <w:b/>
          <w:bCs/>
          <w:sz w:val="28"/>
          <w:szCs w:val="28"/>
        </w:rPr>
        <w:t>AND</w:t>
      </w:r>
    </w:p>
    <w:p w14:paraId="27E0A8BA" w14:textId="77777777" w:rsidR="00FD1C8C" w:rsidRDefault="00242506">
      <w:pPr>
        <w:pStyle w:val="BodyText"/>
        <w:framePr w:w="9139" w:h="5640" w:hRule="exact" w:wrap="none" w:vAnchor="page" w:hAnchor="page" w:x="1407" w:y="1166"/>
        <w:spacing w:after="180" w:line="276" w:lineRule="auto"/>
        <w:ind w:firstLine="0"/>
        <w:jc w:val="center"/>
        <w:rPr>
          <w:sz w:val="28"/>
          <w:szCs w:val="28"/>
        </w:rPr>
      </w:pPr>
      <w:r>
        <w:rPr>
          <w:b/>
          <w:bCs/>
          <w:sz w:val="28"/>
          <w:szCs w:val="28"/>
        </w:rPr>
        <w:t>IN THE MATTER OF AN APPLICATION TO CHALLENGE THE</w:t>
      </w:r>
      <w:r>
        <w:rPr>
          <w:b/>
          <w:bCs/>
          <w:sz w:val="28"/>
          <w:szCs w:val="28"/>
        </w:rPr>
        <w:br/>
      </w:r>
      <w:r>
        <w:rPr>
          <w:b/>
          <w:bCs/>
          <w:sz w:val="28"/>
          <w:szCs w:val="28"/>
        </w:rPr>
        <w:t>DECISION OF THE DISTRICT EXECUTIVE DIRECTOR OF</w:t>
      </w:r>
      <w:r>
        <w:rPr>
          <w:b/>
          <w:bCs/>
          <w:sz w:val="28"/>
          <w:szCs w:val="28"/>
        </w:rPr>
        <w:br/>
        <w:t>BAGAMOYO DISTRICT COUNCIL ON ILLEGAL SUSPENSION OF</w:t>
      </w:r>
      <w:r>
        <w:rPr>
          <w:b/>
          <w:bCs/>
          <w:sz w:val="28"/>
          <w:szCs w:val="28"/>
        </w:rPr>
        <w:br/>
        <w:t>PRIMARY MINING LICENCE 0450DMS(PML) TO ONE M/S</w:t>
      </w:r>
      <w:r>
        <w:rPr>
          <w:b/>
          <w:bCs/>
          <w:sz w:val="28"/>
          <w:szCs w:val="28"/>
        </w:rPr>
        <w:br/>
        <w:t>MBARAKA YAHAYA RAMADHANI.</w:t>
      </w:r>
    </w:p>
    <w:p w14:paraId="70B5A216" w14:textId="77777777" w:rsidR="00FD1C8C" w:rsidRDefault="00242506">
      <w:pPr>
        <w:pStyle w:val="BodyText"/>
        <w:framePr w:w="9139" w:h="5640" w:hRule="exact" w:wrap="none" w:vAnchor="page" w:hAnchor="page" w:x="1407" w:y="1166"/>
        <w:spacing w:after="0" w:line="262" w:lineRule="auto"/>
        <w:ind w:firstLine="0"/>
        <w:jc w:val="center"/>
        <w:rPr>
          <w:sz w:val="28"/>
          <w:szCs w:val="28"/>
        </w:rPr>
      </w:pPr>
      <w:r>
        <w:rPr>
          <w:b/>
          <w:bCs/>
          <w:sz w:val="28"/>
          <w:szCs w:val="28"/>
        </w:rPr>
        <w:t>BETWEEN</w:t>
      </w:r>
    </w:p>
    <w:p w14:paraId="031820E1" w14:textId="77777777" w:rsidR="00FD1C8C" w:rsidRDefault="00242506" w:rsidP="00781AA0">
      <w:pPr>
        <w:pStyle w:val="BodyText"/>
        <w:framePr w:w="9139" w:h="3161" w:hRule="exact" w:wrap="none" w:vAnchor="page" w:hAnchor="page" w:x="1591" w:y="6791"/>
        <w:tabs>
          <w:tab w:val="right" w:leader="dot" w:pos="8966"/>
        </w:tabs>
        <w:spacing w:after="180" w:line="240" w:lineRule="auto"/>
        <w:ind w:firstLine="0"/>
        <w:rPr>
          <w:sz w:val="28"/>
          <w:szCs w:val="28"/>
        </w:rPr>
      </w:pPr>
      <w:r>
        <w:rPr>
          <w:b/>
          <w:bCs/>
          <w:sz w:val="28"/>
          <w:szCs w:val="28"/>
        </w:rPr>
        <w:t>MBARAKA YAHAYA RAMADHANI</w:t>
      </w:r>
      <w:r>
        <w:rPr>
          <w:b/>
          <w:bCs/>
          <w:sz w:val="28"/>
          <w:szCs w:val="28"/>
        </w:rPr>
        <w:tab/>
        <w:t>APPLICANT</w:t>
      </w:r>
    </w:p>
    <w:p w14:paraId="4FB20704" w14:textId="77777777" w:rsidR="00FD1C8C" w:rsidRDefault="00242506" w:rsidP="00781AA0">
      <w:pPr>
        <w:pStyle w:val="BodyText"/>
        <w:framePr w:w="9139" w:h="3161" w:hRule="exact" w:wrap="none" w:vAnchor="page" w:hAnchor="page" w:x="1591" w:y="6791"/>
        <w:spacing w:after="180" w:line="240" w:lineRule="auto"/>
        <w:ind w:firstLine="0"/>
        <w:jc w:val="center"/>
        <w:rPr>
          <w:sz w:val="28"/>
          <w:szCs w:val="28"/>
        </w:rPr>
      </w:pPr>
      <w:r>
        <w:rPr>
          <w:b/>
          <w:bCs/>
          <w:sz w:val="28"/>
          <w:szCs w:val="28"/>
        </w:rPr>
        <w:t>VERSUS</w:t>
      </w:r>
    </w:p>
    <w:p w14:paraId="7BC415E5" w14:textId="77777777" w:rsidR="00FD1C8C" w:rsidRDefault="00242506" w:rsidP="00781AA0">
      <w:pPr>
        <w:pStyle w:val="BodyText"/>
        <w:framePr w:w="9139" w:h="3161" w:hRule="exact" w:wrap="none" w:vAnchor="page" w:hAnchor="page" w:x="1591" w:y="6791"/>
        <w:tabs>
          <w:tab w:val="left" w:leader="dot" w:pos="6456"/>
        </w:tabs>
        <w:spacing w:after="0" w:line="240" w:lineRule="auto"/>
        <w:ind w:firstLine="0"/>
        <w:rPr>
          <w:sz w:val="28"/>
          <w:szCs w:val="28"/>
        </w:rPr>
      </w:pPr>
      <w:r>
        <w:rPr>
          <w:b/>
          <w:bCs/>
          <w:sz w:val="28"/>
          <w:szCs w:val="28"/>
        </w:rPr>
        <w:t xml:space="preserve">DISTRICT EXECUTIVE DIRECTOR OF </w:t>
      </w:r>
      <w:r>
        <w:rPr>
          <w:b/>
          <w:bCs/>
          <w:sz w:val="28"/>
          <w:szCs w:val="28"/>
        </w:rPr>
        <w:t>BAGAMOYO DISTRICT COUNCIL</w:t>
      </w:r>
      <w:r>
        <w:rPr>
          <w:b/>
          <w:bCs/>
          <w:sz w:val="28"/>
          <w:szCs w:val="28"/>
        </w:rPr>
        <w:tab/>
      </w:r>
      <w:r>
        <w:rPr>
          <w:rFonts w:ascii="Times New Roman" w:eastAsia="Times New Roman" w:hAnsi="Times New Roman" w:cs="Times New Roman"/>
          <w:smallCaps/>
          <w:sz w:val="42"/>
          <w:szCs w:val="42"/>
        </w:rPr>
        <w:t>1</w:t>
      </w:r>
      <w:r>
        <w:rPr>
          <w:rFonts w:ascii="Times New Roman" w:eastAsia="Times New Roman" w:hAnsi="Times New Roman" w:cs="Times New Roman"/>
          <w:smallCaps/>
          <w:sz w:val="42"/>
          <w:szCs w:val="42"/>
          <w:vertAlign w:val="superscript"/>
        </w:rPr>
        <w:t>st</w:t>
      </w:r>
      <w:r>
        <w:rPr>
          <w:b/>
          <w:bCs/>
          <w:sz w:val="28"/>
          <w:szCs w:val="28"/>
        </w:rPr>
        <w:t xml:space="preserve"> RESPONDENT</w:t>
      </w:r>
    </w:p>
    <w:p w14:paraId="2C88E32F" w14:textId="77777777" w:rsidR="00FD1C8C" w:rsidRDefault="00242506" w:rsidP="00781AA0">
      <w:pPr>
        <w:pStyle w:val="BodyText"/>
        <w:framePr w:w="9139" w:h="3161" w:hRule="exact" w:wrap="none" w:vAnchor="page" w:hAnchor="page" w:x="1591" w:y="6791"/>
        <w:tabs>
          <w:tab w:val="left" w:leader="dot" w:pos="6456"/>
        </w:tabs>
        <w:spacing w:after="0" w:line="240" w:lineRule="auto"/>
        <w:ind w:firstLine="0"/>
        <w:jc w:val="both"/>
        <w:rPr>
          <w:sz w:val="28"/>
          <w:szCs w:val="28"/>
        </w:rPr>
      </w:pPr>
      <w:r>
        <w:rPr>
          <w:b/>
          <w:bCs/>
          <w:sz w:val="28"/>
          <w:szCs w:val="28"/>
        </w:rPr>
        <w:t>THE ATTORNEY GENERAL</w:t>
      </w:r>
      <w:r>
        <w:rPr>
          <w:b/>
          <w:bCs/>
          <w:sz w:val="28"/>
          <w:szCs w:val="28"/>
        </w:rPr>
        <w:tab/>
      </w:r>
      <w:r>
        <w:rPr>
          <w:rFonts w:ascii="Times New Roman" w:eastAsia="Times New Roman" w:hAnsi="Times New Roman" w:cs="Times New Roman"/>
          <w:smallCaps/>
          <w:sz w:val="42"/>
          <w:szCs w:val="42"/>
        </w:rPr>
        <w:t>2</w:t>
      </w:r>
      <w:r>
        <w:rPr>
          <w:rFonts w:ascii="Times New Roman" w:eastAsia="Times New Roman" w:hAnsi="Times New Roman" w:cs="Times New Roman"/>
          <w:smallCaps/>
          <w:sz w:val="42"/>
          <w:szCs w:val="42"/>
          <w:vertAlign w:val="superscript"/>
        </w:rPr>
        <w:t>nd</w:t>
      </w:r>
      <w:r>
        <w:rPr>
          <w:b/>
          <w:bCs/>
          <w:sz w:val="28"/>
          <w:szCs w:val="28"/>
        </w:rPr>
        <w:t xml:space="preserve"> RESPONDENT</w:t>
      </w:r>
    </w:p>
    <w:p w14:paraId="1A80589E" w14:textId="77777777" w:rsidR="00FD1C8C" w:rsidRDefault="00242506">
      <w:pPr>
        <w:pStyle w:val="Heading10"/>
        <w:framePr w:w="9139" w:h="5918" w:hRule="exact" w:wrap="none" w:vAnchor="page" w:hAnchor="page" w:x="1407" w:y="9623"/>
      </w:pPr>
      <w:bookmarkStart w:id="0" w:name="bookmark0"/>
      <w:r>
        <w:t>RULING</w:t>
      </w:r>
      <w:bookmarkEnd w:id="0"/>
    </w:p>
    <w:p w14:paraId="48D4775F" w14:textId="77777777" w:rsidR="00FD1C8C" w:rsidRDefault="00242506">
      <w:pPr>
        <w:pStyle w:val="Bodytext20"/>
        <w:framePr w:w="9139" w:h="5918" w:hRule="exact" w:wrap="none" w:vAnchor="page" w:hAnchor="page" w:x="1407" w:y="9623"/>
      </w:pPr>
      <w:r>
        <w:t>03 &amp; 17 March, 2022.</w:t>
      </w:r>
    </w:p>
    <w:p w14:paraId="19F4466A" w14:textId="77777777" w:rsidR="00FD1C8C" w:rsidRDefault="00242506">
      <w:pPr>
        <w:pStyle w:val="BodyText"/>
        <w:framePr w:w="9139" w:h="5918" w:hRule="exact" w:wrap="none" w:vAnchor="page" w:hAnchor="page" w:x="1407" w:y="9623"/>
        <w:spacing w:after="0" w:line="228" w:lineRule="auto"/>
        <w:ind w:firstLine="0"/>
        <w:rPr>
          <w:sz w:val="28"/>
          <w:szCs w:val="28"/>
        </w:rPr>
      </w:pPr>
      <w:r>
        <w:rPr>
          <w:b/>
          <w:bCs/>
          <w:sz w:val="28"/>
          <w:szCs w:val="28"/>
          <w:u w:val="single"/>
        </w:rPr>
        <w:t>MGETTA, J:</w:t>
      </w:r>
    </w:p>
    <w:p w14:paraId="4B3E0E40" w14:textId="77777777" w:rsidR="00FD1C8C" w:rsidRDefault="00242506">
      <w:pPr>
        <w:pStyle w:val="BodyText"/>
        <w:framePr w:w="9139" w:h="5918" w:hRule="exact" w:wrap="none" w:vAnchor="page" w:hAnchor="page" w:x="1407" w:y="9623"/>
        <w:spacing w:after="0"/>
        <w:ind w:firstLine="680"/>
        <w:jc w:val="both"/>
      </w:pPr>
      <w:r>
        <w:t xml:space="preserve">This application was brought by way of chamber summons which was filed on 16/12/2021 under </w:t>
      </w:r>
      <w:r>
        <w:rPr>
          <w:b/>
          <w:bCs/>
          <w:sz w:val="28"/>
          <w:szCs w:val="28"/>
        </w:rPr>
        <w:t xml:space="preserve">section 18(1) of the Law Reform (Fatal Accidents and Miscellaneous Provisions) Act CAP 310 </w:t>
      </w:r>
      <w:r>
        <w:t xml:space="preserve">and </w:t>
      </w:r>
      <w:r>
        <w:rPr>
          <w:b/>
          <w:bCs/>
          <w:sz w:val="28"/>
          <w:szCs w:val="28"/>
        </w:rPr>
        <w:t>Rules 4 and 5(1) (2) and (3) of the Law Reform (Fatal Accidents and Mi</w:t>
      </w:r>
      <w:r>
        <w:rPr>
          <w:b/>
          <w:bCs/>
          <w:sz w:val="28"/>
          <w:szCs w:val="28"/>
        </w:rPr>
        <w:t xml:space="preserve">scellaneous Provisions) (Judicial Review Procedure and Fees) Rules, 2014. </w:t>
      </w:r>
      <w:r>
        <w:t>The applicant herein seeks for leave to file an application for Judicial Review for orders of Mandamus and Prohibition to</w:t>
      </w:r>
    </w:p>
    <w:p w14:paraId="26B57A81" w14:textId="77777777" w:rsidR="00FD1C8C" w:rsidRDefault="00242506">
      <w:pPr>
        <w:pStyle w:val="Headerorfooter0"/>
        <w:framePr w:wrap="none" w:vAnchor="page" w:hAnchor="page" w:x="5900" w:y="15546"/>
        <w:rPr>
          <w:sz w:val="42"/>
          <w:szCs w:val="42"/>
        </w:rPr>
      </w:pPr>
      <w:proofErr w:type="spellStart"/>
      <w:r>
        <w:rPr>
          <w:rFonts w:ascii="Times New Roman" w:eastAsia="Times New Roman" w:hAnsi="Times New Roman" w:cs="Times New Roman"/>
          <w:smallCaps/>
          <w:sz w:val="42"/>
          <w:szCs w:val="42"/>
        </w:rPr>
        <w:t>i</w:t>
      </w:r>
      <w:proofErr w:type="spellEnd"/>
    </w:p>
    <w:p w14:paraId="1B2964C2" w14:textId="77777777" w:rsidR="00FD1C8C" w:rsidRDefault="00FD1C8C">
      <w:pPr>
        <w:spacing w:line="1" w:lineRule="exact"/>
        <w:sectPr w:rsidR="00FD1C8C">
          <w:pgSz w:w="11900" w:h="16840"/>
          <w:pgMar w:top="360" w:right="360" w:bottom="360" w:left="360" w:header="0" w:footer="3" w:gutter="0"/>
          <w:cols w:space="720"/>
          <w:noEndnote/>
          <w:docGrid w:linePitch="360"/>
        </w:sectPr>
      </w:pPr>
    </w:p>
    <w:p w14:paraId="1E0B1B4E" w14:textId="77777777" w:rsidR="00FD1C8C" w:rsidRDefault="00FD1C8C">
      <w:pPr>
        <w:spacing w:line="1" w:lineRule="exact"/>
      </w:pPr>
    </w:p>
    <w:p w14:paraId="2B2334FC" w14:textId="77777777" w:rsidR="00FD1C8C" w:rsidRDefault="00242506">
      <w:pPr>
        <w:pStyle w:val="BodyText"/>
        <w:framePr w:w="9024" w:h="14462" w:hRule="exact" w:wrap="none" w:vAnchor="page" w:hAnchor="page" w:x="1465" w:y="957"/>
        <w:spacing w:line="518" w:lineRule="auto"/>
        <w:ind w:firstLine="0"/>
        <w:jc w:val="both"/>
      </w:pPr>
      <w:r>
        <w:t>challenge the decision of the 1</w:t>
      </w:r>
      <w:r>
        <w:rPr>
          <w:vertAlign w:val="superscript"/>
        </w:rPr>
        <w:t>st</w:t>
      </w:r>
      <w:r>
        <w:t xml:space="preserve"> respondent, the District Executive Director of Bagamoyo District Council which suspended the Primary Mining </w:t>
      </w:r>
      <w:proofErr w:type="spellStart"/>
      <w:r>
        <w:t>Licence</w:t>
      </w:r>
      <w:proofErr w:type="spellEnd"/>
      <w:r>
        <w:t xml:space="preserve"> 0450 DSM(PML) issued to him. The application is supported by the affidavit affirmed by the applicant and is accompanied by the statement.</w:t>
      </w:r>
    </w:p>
    <w:p w14:paraId="00B4837D" w14:textId="77777777" w:rsidR="00FD1C8C" w:rsidRDefault="00242506">
      <w:pPr>
        <w:pStyle w:val="BodyText"/>
        <w:framePr w:w="9024" w:h="14462" w:hRule="exact" w:wrap="none" w:vAnchor="page" w:hAnchor="page" w:x="1465" w:y="957"/>
        <w:spacing w:line="518" w:lineRule="auto"/>
        <w:ind w:firstLine="660"/>
        <w:jc w:val="both"/>
      </w:pPr>
      <w:r>
        <w:t>D</w:t>
      </w:r>
      <w:r>
        <w:t xml:space="preserve">uring the hearing, the applicant was represented by Mr. </w:t>
      </w:r>
      <w:proofErr w:type="spellStart"/>
      <w:r>
        <w:t>Ramadhani</w:t>
      </w:r>
      <w:proofErr w:type="spellEnd"/>
      <w:r>
        <w:t xml:space="preserve"> </w:t>
      </w:r>
      <w:proofErr w:type="spellStart"/>
      <w:r>
        <w:t>Sebeku</w:t>
      </w:r>
      <w:proofErr w:type="spellEnd"/>
      <w:r>
        <w:t xml:space="preserve">, the learned advocate; while, the respondents were defended by Ms. </w:t>
      </w:r>
      <w:proofErr w:type="spellStart"/>
      <w:r>
        <w:t>Adelaida</w:t>
      </w:r>
      <w:proofErr w:type="spellEnd"/>
      <w:r>
        <w:t xml:space="preserve"> Ernest, the learned State Attorney.</w:t>
      </w:r>
    </w:p>
    <w:p w14:paraId="28250104" w14:textId="77777777" w:rsidR="00FD1C8C" w:rsidRDefault="00242506">
      <w:pPr>
        <w:pStyle w:val="BodyText"/>
        <w:framePr w:w="9024" w:h="14462" w:hRule="exact" w:wrap="none" w:vAnchor="page" w:hAnchor="page" w:x="1465" w:y="957"/>
        <w:spacing w:line="518" w:lineRule="auto"/>
        <w:ind w:firstLine="660"/>
        <w:jc w:val="both"/>
      </w:pPr>
      <w:r>
        <w:t xml:space="preserve">At the very beginning, Mr. </w:t>
      </w:r>
      <w:proofErr w:type="spellStart"/>
      <w:r>
        <w:t>Ramadhani</w:t>
      </w:r>
      <w:proofErr w:type="spellEnd"/>
      <w:r>
        <w:t xml:space="preserve"> adopted the applicant's affidavit </w:t>
      </w:r>
      <w:r>
        <w:t>and the accompanied statement and further submitted that the 1</w:t>
      </w:r>
      <w:r>
        <w:rPr>
          <w:vertAlign w:val="superscript"/>
        </w:rPr>
        <w:t>st</w:t>
      </w:r>
      <w:r>
        <w:t xml:space="preserve"> respondent acted </w:t>
      </w:r>
      <w:proofErr w:type="spellStart"/>
      <w:r>
        <w:rPr>
          <w:i/>
          <w:iCs/>
        </w:rPr>
        <w:t>ultraviresY</w:t>
      </w:r>
      <w:proofErr w:type="spellEnd"/>
      <w:r>
        <w:rPr>
          <w:i/>
          <w:iCs/>
        </w:rPr>
        <w:t>^</w:t>
      </w:r>
      <w:r>
        <w:t xml:space="preserve"> suspension or cancellation of the applicant's Primary Mining </w:t>
      </w:r>
      <w:proofErr w:type="spellStart"/>
      <w:r>
        <w:t>Licence</w:t>
      </w:r>
      <w:proofErr w:type="spellEnd"/>
      <w:r>
        <w:t xml:space="preserve"> No. 0450 DSM (henceforth the </w:t>
      </w:r>
      <w:proofErr w:type="spellStart"/>
      <w:r>
        <w:t>licence</w:t>
      </w:r>
      <w:proofErr w:type="spellEnd"/>
      <w:r>
        <w:t xml:space="preserve">) which was issued by the Resident Officer under Mining </w:t>
      </w:r>
      <w:r>
        <w:t>law as amended. He had therefore no power to make such suspension or cancellation. He reiterated the prayers of the applicant that the 1</w:t>
      </w:r>
      <w:r>
        <w:rPr>
          <w:vertAlign w:val="superscript"/>
        </w:rPr>
        <w:t xml:space="preserve">st </w:t>
      </w:r>
      <w:r>
        <w:t xml:space="preserve">respondent be prohibited from continuing to suspend applicant's license and also be compelled to exercise its </w:t>
      </w:r>
      <w:r>
        <w:t>power according to the law.</w:t>
      </w:r>
    </w:p>
    <w:p w14:paraId="2EA4CF8C" w14:textId="77777777" w:rsidR="00FD1C8C" w:rsidRDefault="00242506">
      <w:pPr>
        <w:pStyle w:val="BodyText"/>
        <w:framePr w:w="9024" w:h="14462" w:hRule="exact" w:wrap="none" w:vAnchor="page" w:hAnchor="page" w:x="1465" w:y="957"/>
        <w:spacing w:after="0" w:line="511" w:lineRule="auto"/>
        <w:ind w:firstLine="660"/>
        <w:jc w:val="both"/>
      </w:pPr>
      <w:r>
        <w:t xml:space="preserve">Under paragraph 2 of the affidavit, the applicant claimed to be owner of the </w:t>
      </w:r>
      <w:proofErr w:type="spellStart"/>
      <w:r>
        <w:t>licence</w:t>
      </w:r>
      <w:proofErr w:type="spellEnd"/>
      <w:r>
        <w:t xml:space="preserve"> granted to him by the Ministry of Minerals and the</w:t>
      </w:r>
    </w:p>
    <w:p w14:paraId="03BAEBB7" w14:textId="77777777" w:rsidR="00FD1C8C" w:rsidRDefault="00242506">
      <w:pPr>
        <w:pStyle w:val="Headerorfooter0"/>
        <w:framePr w:wrap="none" w:vAnchor="page" w:hAnchor="page" w:x="5881" w:y="15424"/>
      </w:pPr>
      <w:r>
        <w:t>2</w:t>
      </w:r>
    </w:p>
    <w:p w14:paraId="34F19001" w14:textId="77777777" w:rsidR="00FD1C8C" w:rsidRDefault="00FD1C8C">
      <w:pPr>
        <w:spacing w:line="1" w:lineRule="exact"/>
        <w:sectPr w:rsidR="00FD1C8C">
          <w:pgSz w:w="11900" w:h="16840"/>
          <w:pgMar w:top="360" w:right="360" w:bottom="360" w:left="360" w:header="0" w:footer="3" w:gutter="0"/>
          <w:cols w:space="720"/>
          <w:noEndnote/>
          <w:docGrid w:linePitch="360"/>
        </w:sectPr>
      </w:pPr>
    </w:p>
    <w:p w14:paraId="322E4141" w14:textId="77777777" w:rsidR="00FD1C8C" w:rsidRDefault="00FD1C8C">
      <w:pPr>
        <w:spacing w:line="1" w:lineRule="exact"/>
      </w:pPr>
    </w:p>
    <w:p w14:paraId="338A365D" w14:textId="77777777" w:rsidR="00FD1C8C" w:rsidRDefault="00242506">
      <w:pPr>
        <w:pStyle w:val="BodyText"/>
        <w:framePr w:w="9077" w:h="14242" w:hRule="exact" w:wrap="none" w:vAnchor="page" w:hAnchor="page" w:x="1439" w:y="1194"/>
        <w:spacing w:line="521" w:lineRule="auto"/>
        <w:ind w:firstLine="0"/>
        <w:jc w:val="both"/>
      </w:pPr>
      <w:r>
        <w:t xml:space="preserve">Mining Commission to mine sands at </w:t>
      </w:r>
      <w:proofErr w:type="spellStart"/>
      <w:r>
        <w:t>Magore</w:t>
      </w:r>
      <w:proofErr w:type="spellEnd"/>
      <w:r>
        <w:t xml:space="preserve"> </w:t>
      </w:r>
      <w:proofErr w:type="spellStart"/>
      <w:r>
        <w:t>Kiroma</w:t>
      </w:r>
      <w:proofErr w:type="spellEnd"/>
      <w:r>
        <w:t xml:space="preserve"> Ward in Bagamoyo D</w:t>
      </w:r>
      <w:r>
        <w:t xml:space="preserve">istrict (henceforth the area) since 17/02/2020. It was issued to him for the period of one year. The </w:t>
      </w:r>
      <w:proofErr w:type="spellStart"/>
      <w:r>
        <w:t>licence</w:t>
      </w:r>
      <w:proofErr w:type="spellEnd"/>
      <w:r>
        <w:t xml:space="preserve"> was renewed on 17/02/2021. Upon being issued with the </w:t>
      </w:r>
      <w:proofErr w:type="spellStart"/>
      <w:r>
        <w:t>licence</w:t>
      </w:r>
      <w:proofErr w:type="spellEnd"/>
      <w:r>
        <w:t>, he applied for a permit from the 1</w:t>
      </w:r>
      <w:r>
        <w:rPr>
          <w:vertAlign w:val="superscript"/>
        </w:rPr>
        <w:t>st</w:t>
      </w:r>
      <w:r>
        <w:t xml:space="preserve"> respondent who on 10/8/2020 issued a letter of </w:t>
      </w:r>
      <w:r>
        <w:t>reference No. HWB/M.10/7/VOL.11.86 permitting him to mine sands at the area. Following such permit, the applicant entered into various contracts such as hiring sands excavator machine ready to carry on business of supplying sands.</w:t>
      </w:r>
    </w:p>
    <w:p w14:paraId="58546483" w14:textId="77777777" w:rsidR="00FD1C8C" w:rsidRDefault="00242506">
      <w:pPr>
        <w:pStyle w:val="BodyText"/>
        <w:framePr w:w="9077" w:h="14242" w:hRule="exact" w:wrap="none" w:vAnchor="page" w:hAnchor="page" w:x="1439" w:y="1194"/>
        <w:spacing w:line="518" w:lineRule="auto"/>
        <w:ind w:firstLine="660"/>
        <w:jc w:val="both"/>
      </w:pPr>
      <w:r>
        <w:t>It is averred at paragrap</w:t>
      </w:r>
      <w:r>
        <w:t>h 5 of the affidavit that on 26/11/2020, through the letter of ref No. HWB/M.10/7/121, the 1</w:t>
      </w:r>
      <w:r>
        <w:rPr>
          <w:vertAlign w:val="superscript"/>
        </w:rPr>
        <w:t>st</w:t>
      </w:r>
      <w:r>
        <w:t xml:space="preserve"> respondent stopped the applicant from proceeding with his mining activities which was carried out under the </w:t>
      </w:r>
      <w:proofErr w:type="spellStart"/>
      <w:r>
        <w:t>licence</w:t>
      </w:r>
      <w:proofErr w:type="spellEnd"/>
      <w:r>
        <w:t xml:space="preserve"> in the area on the allegation that the mining</w:t>
      </w:r>
      <w:r>
        <w:t xml:space="preserve"> activities were carried out at </w:t>
      </w:r>
      <w:proofErr w:type="spellStart"/>
      <w:r>
        <w:t>Mataya</w:t>
      </w:r>
      <w:proofErr w:type="spellEnd"/>
      <w:r>
        <w:t xml:space="preserve"> </w:t>
      </w:r>
      <w:proofErr w:type="spellStart"/>
      <w:r>
        <w:t>Bondeni</w:t>
      </w:r>
      <w:proofErr w:type="spellEnd"/>
      <w:r>
        <w:t xml:space="preserve"> and </w:t>
      </w:r>
      <w:proofErr w:type="spellStart"/>
      <w:r>
        <w:t>Magore</w:t>
      </w:r>
      <w:proofErr w:type="spellEnd"/>
      <w:r>
        <w:t xml:space="preserve"> until the final conclusion of the investigation of complains raised by other residents of the said area. He then reported the matter to Bagamoyo District Commissioner, then to </w:t>
      </w:r>
      <w:proofErr w:type="spellStart"/>
      <w:r>
        <w:t>Pwani</w:t>
      </w:r>
      <w:proofErr w:type="spellEnd"/>
      <w:r>
        <w:t xml:space="preserve"> Region Commissio</w:t>
      </w:r>
      <w:r>
        <w:t>ner.</w:t>
      </w:r>
    </w:p>
    <w:p w14:paraId="38A0EC2A" w14:textId="77777777" w:rsidR="00FD1C8C" w:rsidRDefault="00242506">
      <w:pPr>
        <w:pStyle w:val="BodyText"/>
        <w:framePr w:w="9077" w:h="14242" w:hRule="exact" w:wrap="none" w:vAnchor="page" w:hAnchor="page" w:x="1439" w:y="1194"/>
        <w:spacing w:after="0" w:line="516" w:lineRule="auto"/>
        <w:ind w:firstLine="660"/>
        <w:jc w:val="both"/>
      </w:pPr>
      <w:r>
        <w:t xml:space="preserve">The police investigation was conducted; and, it was revealed that the applicant was conducting sand mining activities at the area as per his </w:t>
      </w:r>
      <w:proofErr w:type="spellStart"/>
      <w:r>
        <w:t>licence</w:t>
      </w:r>
      <w:proofErr w:type="spellEnd"/>
      <w:r>
        <w:t xml:space="preserve"> and permit and not at </w:t>
      </w:r>
      <w:proofErr w:type="spellStart"/>
      <w:r>
        <w:t>Mataya</w:t>
      </w:r>
      <w:proofErr w:type="spellEnd"/>
      <w:r>
        <w:t xml:space="preserve"> </w:t>
      </w:r>
      <w:proofErr w:type="spellStart"/>
      <w:r>
        <w:t>Bondeni</w:t>
      </w:r>
      <w:proofErr w:type="spellEnd"/>
      <w:r>
        <w:t xml:space="preserve"> as alleged by officials</w:t>
      </w:r>
    </w:p>
    <w:p w14:paraId="1090DF14" w14:textId="77777777" w:rsidR="00FD1C8C" w:rsidRDefault="00242506">
      <w:pPr>
        <w:pStyle w:val="Headerorfooter0"/>
        <w:framePr w:wrap="none" w:vAnchor="page" w:hAnchor="page" w:x="5879" w:y="15676"/>
      </w:pPr>
      <w:r>
        <w:t>3</w:t>
      </w:r>
    </w:p>
    <w:p w14:paraId="20CAB13F" w14:textId="77777777" w:rsidR="00FD1C8C" w:rsidRDefault="00FD1C8C">
      <w:pPr>
        <w:spacing w:line="1" w:lineRule="exact"/>
        <w:sectPr w:rsidR="00FD1C8C">
          <w:pgSz w:w="11900" w:h="16840"/>
          <w:pgMar w:top="360" w:right="360" w:bottom="360" w:left="360" w:header="0" w:footer="3" w:gutter="0"/>
          <w:cols w:space="720"/>
          <w:noEndnote/>
          <w:docGrid w:linePitch="360"/>
        </w:sectPr>
      </w:pPr>
    </w:p>
    <w:p w14:paraId="1AFE9375" w14:textId="77777777" w:rsidR="00FD1C8C" w:rsidRDefault="00FD1C8C">
      <w:pPr>
        <w:spacing w:line="1" w:lineRule="exact"/>
      </w:pPr>
    </w:p>
    <w:p w14:paraId="336BB39D" w14:textId="77777777" w:rsidR="00FD1C8C" w:rsidRDefault="00242506">
      <w:pPr>
        <w:pStyle w:val="BodyText"/>
        <w:framePr w:w="9048" w:h="14203" w:hRule="exact" w:wrap="none" w:vAnchor="page" w:hAnchor="page" w:x="1453" w:y="1228"/>
        <w:spacing w:after="360" w:line="516" w:lineRule="auto"/>
        <w:ind w:firstLine="0"/>
        <w:jc w:val="both"/>
      </w:pPr>
      <w:r>
        <w:t xml:space="preserve">of </w:t>
      </w:r>
      <w:r>
        <w:t>Bagamoyo District Council. The result of the investigation was communicated to the applicant orally. He alleged that, the 1</w:t>
      </w:r>
      <w:r>
        <w:rPr>
          <w:vertAlign w:val="superscript"/>
        </w:rPr>
        <w:t xml:space="preserve">st </w:t>
      </w:r>
      <w:r>
        <w:t xml:space="preserve">respondent neglected it and on 22/11/2021 issued a letter of ref No HWB/A.60/31/VOL.V/81 cancelling the permit on the ground that </w:t>
      </w:r>
      <w:r>
        <w:t>there were complaints from the public that the sand was being mined in hazardous area. It was that decision that aggrieved the applicant. Hence, this application.</w:t>
      </w:r>
    </w:p>
    <w:p w14:paraId="45D66C25" w14:textId="77777777" w:rsidR="00FD1C8C" w:rsidRDefault="00242506">
      <w:pPr>
        <w:pStyle w:val="BodyText"/>
        <w:framePr w:w="9048" w:h="14203" w:hRule="exact" w:wrap="none" w:vAnchor="page" w:hAnchor="page" w:x="1453" w:y="1228"/>
        <w:spacing w:after="360" w:line="514" w:lineRule="auto"/>
        <w:ind w:firstLine="660"/>
        <w:jc w:val="both"/>
      </w:pPr>
      <w:r>
        <w:t xml:space="preserve">He added that there was illegality to the decision reached as the investigation report </w:t>
      </w:r>
      <w:proofErr w:type="spellStart"/>
      <w:r>
        <w:t>indica</w:t>
      </w:r>
      <w:r>
        <w:t>teed</w:t>
      </w:r>
      <w:proofErr w:type="spellEnd"/>
      <w:r>
        <w:t xml:space="preserve"> that the applicant complied with all the conditions necessary for grant of permit for prospects and mining of sand in the said area. Following that he thought he has established a prima facie case and therefore he has met all the conditions necessary </w:t>
      </w:r>
      <w:r>
        <w:t xml:space="preserve">for leave to be granted. He substantiated his prayer by referring to the case of </w:t>
      </w:r>
      <w:r>
        <w:rPr>
          <w:b/>
          <w:bCs/>
          <w:sz w:val="28"/>
          <w:szCs w:val="28"/>
        </w:rPr>
        <w:t xml:space="preserve">Philibert </w:t>
      </w:r>
      <w:proofErr w:type="spellStart"/>
      <w:r>
        <w:rPr>
          <w:b/>
          <w:bCs/>
          <w:sz w:val="28"/>
          <w:szCs w:val="28"/>
        </w:rPr>
        <w:t>Mtei</w:t>
      </w:r>
      <w:proofErr w:type="spellEnd"/>
      <w:r>
        <w:rPr>
          <w:b/>
          <w:bCs/>
          <w:sz w:val="28"/>
          <w:szCs w:val="28"/>
        </w:rPr>
        <w:t xml:space="preserve"> &amp; Another Versus </w:t>
      </w:r>
      <w:proofErr w:type="gramStart"/>
      <w:r>
        <w:rPr>
          <w:b/>
          <w:bCs/>
          <w:sz w:val="28"/>
          <w:szCs w:val="28"/>
        </w:rPr>
        <w:t>The</w:t>
      </w:r>
      <w:proofErr w:type="gramEnd"/>
      <w:r>
        <w:rPr>
          <w:b/>
          <w:bCs/>
          <w:sz w:val="28"/>
          <w:szCs w:val="28"/>
        </w:rPr>
        <w:t xml:space="preserve"> </w:t>
      </w:r>
      <w:proofErr w:type="spellStart"/>
      <w:r>
        <w:rPr>
          <w:b/>
          <w:bCs/>
          <w:sz w:val="28"/>
          <w:szCs w:val="28"/>
        </w:rPr>
        <w:t>Ubungo</w:t>
      </w:r>
      <w:proofErr w:type="spellEnd"/>
      <w:r>
        <w:rPr>
          <w:b/>
          <w:bCs/>
          <w:sz w:val="28"/>
          <w:szCs w:val="28"/>
        </w:rPr>
        <w:t xml:space="preserve"> District Commissioner &amp; Another, </w:t>
      </w:r>
      <w:r>
        <w:t>Miscellaneous Civil Cause No 3 of 2018 (DSM) (HC Main Registry) (unreported) at page 4.</w:t>
      </w:r>
    </w:p>
    <w:p w14:paraId="4DFFA6AD" w14:textId="77777777" w:rsidR="00FD1C8C" w:rsidRDefault="00242506">
      <w:pPr>
        <w:pStyle w:val="BodyText"/>
        <w:framePr w:w="9048" w:h="14203" w:hRule="exact" w:wrap="none" w:vAnchor="page" w:hAnchor="page" w:x="1453" w:y="1228"/>
        <w:spacing w:after="0" w:line="514" w:lineRule="auto"/>
        <w:ind w:firstLine="660"/>
        <w:jc w:val="both"/>
        <w:rPr>
          <w:sz w:val="28"/>
          <w:szCs w:val="28"/>
        </w:rPr>
      </w:pPr>
      <w:r>
        <w:t xml:space="preserve">Mr. </w:t>
      </w:r>
      <w:proofErr w:type="spellStart"/>
      <w:r>
        <w:t>Ramadha</w:t>
      </w:r>
      <w:r>
        <w:t>ni</w:t>
      </w:r>
      <w:proofErr w:type="spellEnd"/>
      <w:r>
        <w:t xml:space="preserve"> added that the application has been brought within time and the applicant herein has sufficient interest and </w:t>
      </w:r>
      <w:r>
        <w:rPr>
          <w:i/>
          <w:iCs/>
        </w:rPr>
        <w:t>locus standi</w:t>
      </w:r>
      <w:r>
        <w:t xml:space="preserve"> in the matter as he has invested therein. Thus, he has an arguable case. He referred also to the case of </w:t>
      </w:r>
      <w:proofErr w:type="spellStart"/>
      <w:r>
        <w:rPr>
          <w:b/>
          <w:bCs/>
          <w:sz w:val="28"/>
          <w:szCs w:val="28"/>
        </w:rPr>
        <w:t>Itika</w:t>
      </w:r>
      <w:proofErr w:type="spellEnd"/>
      <w:r>
        <w:rPr>
          <w:b/>
          <w:bCs/>
          <w:sz w:val="28"/>
          <w:szCs w:val="28"/>
        </w:rPr>
        <w:t xml:space="preserve"> </w:t>
      </w:r>
      <w:proofErr w:type="spellStart"/>
      <w:r>
        <w:rPr>
          <w:b/>
          <w:bCs/>
          <w:sz w:val="28"/>
          <w:szCs w:val="28"/>
        </w:rPr>
        <w:t>Teka</w:t>
      </w:r>
      <w:proofErr w:type="spellEnd"/>
      <w:r>
        <w:rPr>
          <w:b/>
          <w:bCs/>
          <w:sz w:val="28"/>
          <w:szCs w:val="28"/>
        </w:rPr>
        <w:t xml:space="preserve"> Versus</w:t>
      </w:r>
    </w:p>
    <w:p w14:paraId="63AA0F84" w14:textId="77777777" w:rsidR="00FD1C8C" w:rsidRDefault="00242506">
      <w:pPr>
        <w:pStyle w:val="Headerorfooter0"/>
        <w:framePr w:wrap="none" w:vAnchor="page" w:hAnchor="page" w:x="5845" w:y="15671"/>
      </w:pPr>
      <w:r>
        <w:t>4</w:t>
      </w:r>
    </w:p>
    <w:p w14:paraId="0E221E89" w14:textId="77777777" w:rsidR="00FD1C8C" w:rsidRDefault="00FD1C8C">
      <w:pPr>
        <w:spacing w:line="1" w:lineRule="exact"/>
        <w:sectPr w:rsidR="00FD1C8C">
          <w:pgSz w:w="11900" w:h="16840"/>
          <w:pgMar w:top="360" w:right="360" w:bottom="360" w:left="360" w:header="0" w:footer="3" w:gutter="0"/>
          <w:cols w:space="720"/>
          <w:noEndnote/>
          <w:docGrid w:linePitch="360"/>
        </w:sectPr>
      </w:pPr>
    </w:p>
    <w:p w14:paraId="4DFA309B" w14:textId="77777777" w:rsidR="00FD1C8C" w:rsidRDefault="00FD1C8C">
      <w:pPr>
        <w:spacing w:line="1" w:lineRule="exact"/>
      </w:pPr>
    </w:p>
    <w:p w14:paraId="1227850D" w14:textId="77777777" w:rsidR="00FD1C8C" w:rsidRDefault="00242506">
      <w:pPr>
        <w:pStyle w:val="BodyText"/>
        <w:framePr w:w="9077" w:h="14266" w:hRule="exact" w:wrap="none" w:vAnchor="page" w:hAnchor="page" w:x="1439" w:y="1166"/>
        <w:spacing w:after="360" w:line="506" w:lineRule="auto"/>
        <w:ind w:firstLine="0"/>
        <w:jc w:val="both"/>
      </w:pPr>
      <w:r>
        <w:rPr>
          <w:b/>
          <w:bCs/>
          <w:sz w:val="28"/>
          <w:szCs w:val="28"/>
        </w:rPr>
        <w:t xml:space="preserve">Mara cooperative union ltd </w:t>
      </w:r>
      <w:r>
        <w:t xml:space="preserve">[1993] TLR 206. That in the present matter the applicant has no alternative avenue to seek for his remedies. He referred this court to the case of </w:t>
      </w:r>
      <w:r>
        <w:rPr>
          <w:b/>
          <w:bCs/>
          <w:sz w:val="28"/>
          <w:szCs w:val="28"/>
        </w:rPr>
        <w:t xml:space="preserve">Simon </w:t>
      </w:r>
      <w:proofErr w:type="spellStart"/>
      <w:r>
        <w:rPr>
          <w:b/>
          <w:bCs/>
          <w:sz w:val="28"/>
          <w:szCs w:val="28"/>
        </w:rPr>
        <w:t>Manyaki</w:t>
      </w:r>
      <w:proofErr w:type="spellEnd"/>
      <w:r>
        <w:rPr>
          <w:b/>
          <w:bCs/>
          <w:sz w:val="28"/>
          <w:szCs w:val="28"/>
        </w:rPr>
        <w:t xml:space="preserve"> Versus Institute of Finance Management </w:t>
      </w:r>
      <w:r>
        <w:t>[1984]</w:t>
      </w:r>
      <w:r>
        <w:t xml:space="preserve"> TLR 304. That the applicant has not yet heard.</w:t>
      </w:r>
    </w:p>
    <w:p w14:paraId="1127F5EE" w14:textId="77777777" w:rsidR="00FD1C8C" w:rsidRDefault="00242506">
      <w:pPr>
        <w:pStyle w:val="BodyText"/>
        <w:framePr w:w="9077" w:h="14266" w:hRule="exact" w:wrap="none" w:vAnchor="page" w:hAnchor="page" w:x="1439" w:y="1166"/>
        <w:spacing w:after="360" w:line="521" w:lineRule="auto"/>
        <w:ind w:firstLine="660"/>
        <w:jc w:val="both"/>
      </w:pPr>
      <w:r>
        <w:t xml:space="preserve">In response, Ms. </w:t>
      </w:r>
      <w:proofErr w:type="spellStart"/>
      <w:r>
        <w:t>Adelaida</w:t>
      </w:r>
      <w:proofErr w:type="spellEnd"/>
      <w:r>
        <w:t xml:space="preserve"> adopted the counter affidavit. At the outset she concedes that the Ministry of mining is the one with power to issue and suspend the mining </w:t>
      </w:r>
      <w:proofErr w:type="spellStart"/>
      <w:r>
        <w:t>licence</w:t>
      </w:r>
      <w:proofErr w:type="spellEnd"/>
      <w:r>
        <w:t>. The duty of the 1</w:t>
      </w:r>
      <w:r>
        <w:rPr>
          <w:vertAlign w:val="superscript"/>
        </w:rPr>
        <w:t>st</w:t>
      </w:r>
      <w:r>
        <w:t xml:space="preserve"> respondent was only to issue permit and direct where the sand should be excavated. She further submitted that the applicant permit was cancelled by the 1</w:t>
      </w:r>
      <w:r>
        <w:rPr>
          <w:vertAlign w:val="superscript"/>
        </w:rPr>
        <w:t>st</w:t>
      </w:r>
      <w:r>
        <w:t xml:space="preserve"> respondent due to the fact that it was found that the area was not suitable for mining activities. </w:t>
      </w:r>
      <w:r>
        <w:t>That the permit was issued mistakenly and therefore unclear. The procedures to notify the applicant about cancellation of the permit were followed. She added that in order to grant leave the applicant should show sufficient reasons.</w:t>
      </w:r>
    </w:p>
    <w:p w14:paraId="45125366" w14:textId="77777777" w:rsidR="00FD1C8C" w:rsidRDefault="00242506">
      <w:pPr>
        <w:pStyle w:val="BodyText"/>
        <w:framePr w:w="9077" w:h="14266" w:hRule="exact" w:wrap="none" w:vAnchor="page" w:hAnchor="page" w:x="1439" w:y="1166"/>
        <w:spacing w:after="0" w:line="514" w:lineRule="auto"/>
        <w:ind w:firstLine="660"/>
        <w:jc w:val="both"/>
      </w:pPr>
      <w:r>
        <w:t xml:space="preserve">Right from the </w:t>
      </w:r>
      <w:r>
        <w:t xml:space="preserve">outset it should be understood that in order the applicant be granted with the leave, he should just show that he has an arguable or prima facie case, and not to give what Ms. </w:t>
      </w:r>
      <w:proofErr w:type="spellStart"/>
      <w:r>
        <w:t>Adelaida</w:t>
      </w:r>
      <w:proofErr w:type="spellEnd"/>
      <w:r>
        <w:t xml:space="preserve"> said that he should give sufficient reason.</w:t>
      </w:r>
    </w:p>
    <w:p w14:paraId="6B1642C6" w14:textId="77777777" w:rsidR="00FD1C8C" w:rsidRDefault="00242506">
      <w:pPr>
        <w:pStyle w:val="Headerorfooter0"/>
        <w:framePr w:wrap="none" w:vAnchor="page" w:hAnchor="page" w:x="5883" w:y="15676"/>
      </w:pPr>
      <w:r>
        <w:t>5</w:t>
      </w:r>
    </w:p>
    <w:p w14:paraId="500C9426" w14:textId="77777777" w:rsidR="00FD1C8C" w:rsidRDefault="00FD1C8C">
      <w:pPr>
        <w:spacing w:line="1" w:lineRule="exact"/>
        <w:sectPr w:rsidR="00FD1C8C">
          <w:pgSz w:w="11900" w:h="16840"/>
          <w:pgMar w:top="360" w:right="360" w:bottom="360" w:left="360" w:header="0" w:footer="3" w:gutter="0"/>
          <w:cols w:space="720"/>
          <w:noEndnote/>
          <w:docGrid w:linePitch="360"/>
        </w:sectPr>
      </w:pPr>
    </w:p>
    <w:p w14:paraId="0D9C5724" w14:textId="77777777" w:rsidR="00FD1C8C" w:rsidRDefault="00FD1C8C">
      <w:pPr>
        <w:spacing w:line="1" w:lineRule="exact"/>
      </w:pPr>
    </w:p>
    <w:p w14:paraId="41C7B1AE" w14:textId="77777777" w:rsidR="00FD1C8C" w:rsidRDefault="00242506">
      <w:pPr>
        <w:pStyle w:val="BodyText"/>
        <w:framePr w:w="9082" w:h="11885" w:hRule="exact" w:wrap="none" w:vAnchor="page" w:hAnchor="page" w:x="1436" w:y="1223"/>
        <w:spacing w:line="518" w:lineRule="auto"/>
        <w:ind w:firstLine="700"/>
        <w:jc w:val="both"/>
      </w:pPr>
      <w:r>
        <w:t xml:space="preserve">I </w:t>
      </w:r>
      <w:r>
        <w:t>have no doubt that this application was brought within six months counting from 22/11/2021 when the applicant's permit was cancelled to 16/12/2021 when this application was filed. The applicant has shown interest in this matter being the owner of the permi</w:t>
      </w:r>
      <w:r>
        <w:t>t which was cancelled. Therefore, the issue for determination is simple. It is whether the applicant has established a prima facie case to persuade this court to grant the leave sought. From the records of this case, I am satisfied that the applicant has s</w:t>
      </w:r>
      <w:r>
        <w:t>uccessfully established a prima facie case by showing interest in the matter intended to be lodged if leave is granted to him.</w:t>
      </w:r>
    </w:p>
    <w:p w14:paraId="24F8437E" w14:textId="77777777" w:rsidR="00FD1C8C" w:rsidRDefault="00242506">
      <w:pPr>
        <w:pStyle w:val="BodyText"/>
        <w:framePr w:w="9082" w:h="11885" w:hRule="exact" w:wrap="none" w:vAnchor="page" w:hAnchor="page" w:x="1436" w:y="1223"/>
        <w:spacing w:line="518" w:lineRule="auto"/>
        <w:ind w:firstLine="700"/>
        <w:jc w:val="both"/>
      </w:pPr>
      <w:r>
        <w:t>In the event, I find this application meritorious as the applicant has established a prima facie case. I consequently grant leave</w:t>
      </w:r>
      <w:r>
        <w:t xml:space="preserve"> to him to file application for prerogative orders of mandamus and prohibition. Considering the circumstances of this application, no order as to cost.</w:t>
      </w:r>
    </w:p>
    <w:p w14:paraId="63420619" w14:textId="77777777" w:rsidR="00FD1C8C" w:rsidRDefault="00242506">
      <w:pPr>
        <w:pStyle w:val="BodyText"/>
        <w:framePr w:w="9082" w:h="11885" w:hRule="exact" w:wrap="none" w:vAnchor="page" w:hAnchor="page" w:x="1436" w:y="1223"/>
        <w:spacing w:line="518" w:lineRule="auto"/>
        <w:ind w:firstLine="700"/>
        <w:jc w:val="both"/>
      </w:pPr>
      <w:r>
        <w:t>It is so ordered.</w:t>
      </w:r>
    </w:p>
    <w:p w14:paraId="76F0D84D" w14:textId="77777777" w:rsidR="00FD1C8C" w:rsidRDefault="00242506">
      <w:pPr>
        <w:pStyle w:val="BodyText"/>
        <w:framePr w:w="9082" w:h="11885" w:hRule="exact" w:wrap="none" w:vAnchor="page" w:hAnchor="page" w:x="1436" w:y="1223"/>
        <w:spacing w:after="0"/>
        <w:ind w:firstLine="0"/>
        <w:jc w:val="both"/>
      </w:pPr>
      <w:r>
        <w:rPr>
          <w:b/>
          <w:bCs/>
          <w:sz w:val="28"/>
          <w:szCs w:val="28"/>
        </w:rPr>
        <w:t xml:space="preserve">Dated </w:t>
      </w:r>
      <w:r>
        <w:t xml:space="preserve">at </w:t>
      </w:r>
      <w:r>
        <w:rPr>
          <w:b/>
          <w:bCs/>
          <w:sz w:val="28"/>
          <w:szCs w:val="28"/>
        </w:rPr>
        <w:t xml:space="preserve">Dar es Salaam </w:t>
      </w:r>
      <w:r>
        <w:t>this 17</w:t>
      </w:r>
      <w:r>
        <w:rPr>
          <w:vertAlign w:val="superscript"/>
        </w:rPr>
        <w:t>th</w:t>
      </w:r>
      <w:r>
        <w:t xml:space="preserve"> day of March, 2022.</w:t>
      </w:r>
    </w:p>
    <w:p w14:paraId="10A6FF68" w14:textId="77777777" w:rsidR="00FD1C8C" w:rsidRDefault="00242506">
      <w:pPr>
        <w:framePr w:wrap="none" w:vAnchor="page" w:hAnchor="page" w:x="2502" w:y="13242"/>
        <w:rPr>
          <w:sz w:val="2"/>
          <w:szCs w:val="2"/>
        </w:rPr>
      </w:pPr>
      <w:r>
        <w:rPr>
          <w:noProof/>
        </w:rPr>
        <w:drawing>
          <wp:inline distT="0" distB="0" distL="0" distR="0" wp14:anchorId="3BB6DF97" wp14:editId="71AC83B0">
            <wp:extent cx="3474720" cy="153606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3474720" cy="1536065"/>
                    </a:xfrm>
                    <a:prstGeom prst="rect">
                      <a:avLst/>
                    </a:prstGeom>
                  </pic:spPr>
                </pic:pic>
              </a:graphicData>
            </a:graphic>
          </wp:inline>
        </w:drawing>
      </w:r>
    </w:p>
    <w:p w14:paraId="71A0EEF4" w14:textId="77777777" w:rsidR="00FD1C8C" w:rsidRDefault="00242506">
      <w:pPr>
        <w:pStyle w:val="Headerorfooter0"/>
        <w:framePr w:wrap="none" w:vAnchor="page" w:hAnchor="page" w:x="5881" w:y="15681"/>
      </w:pPr>
      <w:r>
        <w:t>6</w:t>
      </w:r>
    </w:p>
    <w:p w14:paraId="45FBECFE" w14:textId="77777777" w:rsidR="00FD1C8C" w:rsidRDefault="00FD1C8C">
      <w:pPr>
        <w:spacing w:line="1" w:lineRule="exact"/>
        <w:sectPr w:rsidR="00FD1C8C">
          <w:pgSz w:w="11900" w:h="16840"/>
          <w:pgMar w:top="360" w:right="360" w:bottom="360" w:left="360" w:header="0" w:footer="3" w:gutter="0"/>
          <w:cols w:space="720"/>
          <w:noEndnote/>
          <w:docGrid w:linePitch="360"/>
        </w:sectPr>
      </w:pPr>
    </w:p>
    <w:p w14:paraId="6CBFAAE8" w14:textId="77777777" w:rsidR="00FD1C8C" w:rsidRDefault="00242506">
      <w:pPr>
        <w:spacing w:line="1" w:lineRule="exact"/>
      </w:pPr>
      <w:r>
        <w:rPr>
          <w:noProof/>
        </w:rPr>
        <w:lastRenderedPageBreak/>
        <mc:AlternateContent>
          <mc:Choice Requires="wps">
            <w:drawing>
              <wp:anchor distT="0" distB="0" distL="114300" distR="114300" simplePos="0" relativeHeight="251657216" behindDoc="1" locked="0" layoutInCell="1" allowOverlap="1" wp14:anchorId="0244DCFE" wp14:editId="26DEBF09">
                <wp:simplePos x="0" y="0"/>
                <wp:positionH relativeFrom="page">
                  <wp:posOffset>3870960</wp:posOffset>
                </wp:positionH>
                <wp:positionV relativeFrom="page">
                  <wp:posOffset>2525395</wp:posOffset>
                </wp:positionV>
                <wp:extent cx="682625" cy="0"/>
                <wp:effectExtent l="0" t="0" r="0" b="0"/>
                <wp:wrapNone/>
                <wp:docPr id="2" name="Shape 2"/>
                <wp:cNvGraphicFramePr/>
                <a:graphic xmlns:a="http://schemas.openxmlformats.org/drawingml/2006/main">
                  <a:graphicData uri="http://schemas.microsoft.com/office/word/2010/wordprocessingShape">
                    <wps:wsp>
                      <wps:cNvCnPr/>
                      <wps:spPr>
                        <a:xfrm>
                          <a:off x="0" y="0"/>
                          <a:ext cx="682625" cy="0"/>
                        </a:xfrm>
                        <a:prstGeom prst="straightConnector1">
                          <a:avLst/>
                        </a:prstGeom>
                        <a:ln w="18415">
                          <a:solidFill/>
                        </a:ln>
                      </wps:spPr>
                      <wps:bodyPr/>
                    </wps:wsp>
                  </a:graphicData>
                </a:graphic>
              </wp:anchor>
            </w:drawing>
          </mc:Choice>
          <mc:Fallback>
            <w:pict>
              <v:shape o:spt="32" o:oned="true" path="m,l21600,21600e" style="position:absolute;margin-left:304.80000000000001pt;margin-top:198.84999999999999pt;width:53.75pt;height:0;z-index:-251658240;mso-position-horizontal-relative:page;mso-position-vertical-relative:page">
                <v:stroke weight="1.45pt"/>
              </v:shape>
            </w:pict>
          </mc:Fallback>
        </mc:AlternateContent>
      </w:r>
      <w:r>
        <w:rPr>
          <w:noProof/>
        </w:rPr>
        <mc:AlternateContent>
          <mc:Choice Requires="wps">
            <w:drawing>
              <wp:anchor distT="0" distB="0" distL="114300" distR="114300" simplePos="0" relativeHeight="251658240" behindDoc="1" locked="0" layoutInCell="1" allowOverlap="1" wp14:anchorId="4A53900B" wp14:editId="02C9C353">
                <wp:simplePos x="0" y="0"/>
                <wp:positionH relativeFrom="page">
                  <wp:posOffset>3456305</wp:posOffset>
                </wp:positionH>
                <wp:positionV relativeFrom="page">
                  <wp:posOffset>2577465</wp:posOffset>
                </wp:positionV>
                <wp:extent cx="899160" cy="0"/>
                <wp:effectExtent l="0" t="0" r="0" b="0"/>
                <wp:wrapNone/>
                <wp:docPr id="3" name="Shape 3"/>
                <wp:cNvGraphicFramePr/>
                <a:graphic xmlns:a="http://schemas.openxmlformats.org/drawingml/2006/main">
                  <a:graphicData uri="http://schemas.microsoft.com/office/word/2010/wordprocessingShape">
                    <wps:wsp>
                      <wps:cNvCnPr/>
                      <wps:spPr>
                        <a:xfrm>
                          <a:off x="0" y="0"/>
                          <a:ext cx="899160" cy="0"/>
                        </a:xfrm>
                        <a:prstGeom prst="straightConnector1">
                          <a:avLst/>
                        </a:prstGeom>
                        <a:ln w="15240">
                          <a:solidFill/>
                        </a:ln>
                      </wps:spPr>
                      <wps:bodyPr/>
                    </wps:wsp>
                  </a:graphicData>
                </a:graphic>
              </wp:anchor>
            </w:drawing>
          </mc:Choice>
          <mc:Fallback>
            <w:pict>
              <v:shape o:spt="32" o:oned="true" path="m,l21600,21600e" style="position:absolute;margin-left:272.14999999999998pt;margin-top:202.95000000000002pt;width:70.799999999999997pt;height:0;z-index:-251658240;mso-position-horizontal-relative:page;mso-position-vertical-relative:page">
                <v:stroke weight="1.2pt"/>
              </v:shape>
            </w:pict>
          </mc:Fallback>
        </mc:AlternateContent>
      </w:r>
    </w:p>
    <w:p w14:paraId="100C6FEF" w14:textId="77777777" w:rsidR="00FD1C8C" w:rsidRDefault="00242506">
      <w:pPr>
        <w:pStyle w:val="BodyText"/>
        <w:framePr w:wrap="none" w:vAnchor="page" w:hAnchor="page" w:x="1412" w:y="1170"/>
        <w:spacing w:after="0" w:line="240" w:lineRule="auto"/>
        <w:ind w:firstLine="0"/>
        <w:rPr>
          <w:sz w:val="28"/>
          <w:szCs w:val="28"/>
        </w:rPr>
      </w:pPr>
      <w:r>
        <w:rPr>
          <w:b/>
          <w:bCs/>
          <w:sz w:val="28"/>
          <w:szCs w:val="28"/>
        </w:rPr>
        <w:t>COUR</w:t>
      </w:r>
      <w:r>
        <w:rPr>
          <w:b/>
          <w:bCs/>
          <w:sz w:val="28"/>
          <w:szCs w:val="28"/>
        </w:rPr>
        <w:t>T:</w:t>
      </w:r>
    </w:p>
    <w:p w14:paraId="482EDBCC" w14:textId="77777777" w:rsidR="00FD1C8C" w:rsidRDefault="00242506">
      <w:pPr>
        <w:pStyle w:val="BodyText"/>
        <w:framePr w:wrap="none" w:vAnchor="page" w:hAnchor="page" w:x="1436" w:y="1180"/>
        <w:spacing w:after="0" w:line="240" w:lineRule="auto"/>
        <w:ind w:left="1387" w:right="24" w:firstLine="0"/>
        <w:jc w:val="both"/>
      </w:pPr>
      <w:r>
        <w:t>This ruling is delivered today this 17</w:t>
      </w:r>
      <w:r>
        <w:rPr>
          <w:vertAlign w:val="superscript"/>
        </w:rPr>
        <w:t>th</w:t>
      </w:r>
      <w:r>
        <w:t xml:space="preserve"> day of March, 2022 in</w:t>
      </w:r>
    </w:p>
    <w:p w14:paraId="48B2EEE2" w14:textId="77777777" w:rsidR="00FD1C8C" w:rsidRDefault="00242506">
      <w:pPr>
        <w:pStyle w:val="BodyText"/>
        <w:framePr w:wrap="none" w:vAnchor="page" w:hAnchor="page" w:x="1436" w:y="1876"/>
        <w:spacing w:after="0" w:line="240" w:lineRule="auto"/>
        <w:ind w:left="1380" w:firstLine="0"/>
        <w:jc w:val="both"/>
      </w:pPr>
      <w:r>
        <w:t xml:space="preserve">the presence of Mr. Ramadhan </w:t>
      </w:r>
      <w:proofErr w:type="spellStart"/>
      <w:r>
        <w:t>Sebeku</w:t>
      </w:r>
      <w:proofErr w:type="spellEnd"/>
      <w:r>
        <w:t>, the learned advocate</w:t>
      </w:r>
    </w:p>
    <w:p w14:paraId="138342C6" w14:textId="77777777" w:rsidR="00FD1C8C" w:rsidRDefault="00242506">
      <w:pPr>
        <w:pStyle w:val="BodyText"/>
        <w:framePr w:wrap="none" w:vAnchor="page" w:hAnchor="page" w:x="1436" w:y="2553"/>
        <w:spacing w:after="0" w:line="240" w:lineRule="auto"/>
        <w:ind w:left="1380" w:firstLine="0"/>
        <w:jc w:val="both"/>
      </w:pPr>
      <w:r>
        <w:t>for the applicant, but in the absence of the respondents and</w:t>
      </w:r>
    </w:p>
    <w:p w14:paraId="2DA56445" w14:textId="77777777" w:rsidR="00FD1C8C" w:rsidRDefault="00242506">
      <w:pPr>
        <w:pStyle w:val="BodyText"/>
        <w:framePr w:w="9082" w:h="499" w:hRule="exact" w:wrap="none" w:vAnchor="page" w:hAnchor="page" w:x="1436" w:y="3225"/>
        <w:spacing w:after="0" w:line="240" w:lineRule="auto"/>
        <w:ind w:left="1380" w:firstLine="0"/>
      </w:pPr>
      <w:r>
        <w:t>or their counsel for reasons known to themselves.</w:t>
      </w:r>
    </w:p>
    <w:p w14:paraId="3D0489B4" w14:textId="77777777" w:rsidR="00FD1C8C" w:rsidRDefault="00242506">
      <w:pPr>
        <w:pStyle w:val="Bodytext30"/>
        <w:framePr w:w="9082" w:h="499" w:hRule="exact" w:wrap="none" w:vAnchor="page" w:hAnchor="page" w:x="1436" w:y="3225"/>
      </w:pPr>
      <w:proofErr w:type="spellStart"/>
      <w:r>
        <w:t>i</w:t>
      </w:r>
      <w:proofErr w:type="spellEnd"/>
    </w:p>
    <w:p w14:paraId="722381AC" w14:textId="77777777" w:rsidR="00FD1C8C" w:rsidRDefault="00242506">
      <w:pPr>
        <w:framePr w:wrap="none" w:vAnchor="page" w:hAnchor="page" w:x="2348" w:y="4281"/>
        <w:rPr>
          <w:sz w:val="2"/>
          <w:szCs w:val="2"/>
        </w:rPr>
      </w:pPr>
      <w:r>
        <w:rPr>
          <w:noProof/>
        </w:rPr>
        <w:drawing>
          <wp:inline distT="0" distB="0" distL="0" distR="0" wp14:anchorId="11570C04" wp14:editId="5374A628">
            <wp:extent cx="2840990" cy="151193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off x="0" y="0"/>
                      <a:ext cx="2840990" cy="1511935"/>
                    </a:xfrm>
                    <a:prstGeom prst="rect">
                      <a:avLst/>
                    </a:prstGeom>
                  </pic:spPr>
                </pic:pic>
              </a:graphicData>
            </a:graphic>
          </wp:inline>
        </w:drawing>
      </w:r>
    </w:p>
    <w:p w14:paraId="5732A808" w14:textId="77777777" w:rsidR="00FD1C8C" w:rsidRDefault="00242506">
      <w:pPr>
        <w:pStyle w:val="Headerorfooter0"/>
        <w:framePr w:wrap="none" w:vAnchor="page" w:hAnchor="page" w:x="5857" w:y="15686"/>
        <w:rPr>
          <w:sz w:val="19"/>
          <w:szCs w:val="19"/>
        </w:rPr>
      </w:pPr>
      <w:proofErr w:type="spellStart"/>
      <w:r>
        <w:rPr>
          <w:i/>
          <w:iCs/>
          <w:sz w:val="19"/>
          <w:szCs w:val="19"/>
        </w:rPr>
        <w:t>i</w:t>
      </w:r>
      <w:proofErr w:type="spellEnd"/>
    </w:p>
    <w:p w14:paraId="4D65212F" w14:textId="77777777" w:rsidR="00FD1C8C" w:rsidRDefault="00FD1C8C">
      <w:pPr>
        <w:spacing w:line="1" w:lineRule="exact"/>
      </w:pPr>
    </w:p>
    <w:sectPr w:rsidR="00FD1C8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0932" w14:textId="77777777" w:rsidR="00242506" w:rsidRDefault="00242506">
      <w:r>
        <w:separator/>
      </w:r>
    </w:p>
  </w:endnote>
  <w:endnote w:type="continuationSeparator" w:id="0">
    <w:p w14:paraId="6F11E2F9" w14:textId="77777777" w:rsidR="00242506" w:rsidRDefault="0024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FB45" w14:textId="77777777" w:rsidR="00242506" w:rsidRDefault="00242506"/>
  </w:footnote>
  <w:footnote w:type="continuationSeparator" w:id="0">
    <w:p w14:paraId="17FEB76C" w14:textId="77777777" w:rsidR="00242506" w:rsidRDefault="0024250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8C"/>
    <w:rsid w:val="00242506"/>
    <w:rsid w:val="00543279"/>
    <w:rsid w:val="00781AA0"/>
    <w:rsid w:val="00DA58BE"/>
    <w:rsid w:val="00FD1C8C"/>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C3E5"/>
  <w15:docId w15:val="{2E43A0C5-892A-43F6-B8EA-3D7B86F4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0"/>
      <w:szCs w:val="20"/>
      <w:u w:val="none"/>
    </w:rPr>
  </w:style>
  <w:style w:type="character" w:customStyle="1" w:styleId="BodyTextChar">
    <w:name w:val="Body Text Char"/>
    <w:basedOn w:val="DefaultParagraphFont"/>
    <w:link w:val="BodyText"/>
    <w:rPr>
      <w:rFonts w:ascii="Tahoma" w:eastAsia="Tahoma" w:hAnsi="Tahoma" w:cs="Tahoma"/>
      <w:b w:val="0"/>
      <w:bCs w:val="0"/>
      <w:i w:val="0"/>
      <w:iCs w:val="0"/>
      <w:smallCaps w:val="0"/>
      <w:strike w:val="0"/>
      <w:sz w:val="26"/>
      <w:szCs w:val="26"/>
      <w:u w:val="none"/>
    </w:rPr>
  </w:style>
  <w:style w:type="character" w:customStyle="1" w:styleId="Heading1">
    <w:name w:val="Heading #1_"/>
    <w:basedOn w:val="DefaultParagraphFont"/>
    <w:link w:val="Heading10"/>
    <w:rPr>
      <w:rFonts w:ascii="Tahoma" w:eastAsia="Tahoma" w:hAnsi="Tahoma" w:cs="Tahoma"/>
      <w:b/>
      <w:bCs/>
      <w:i w:val="0"/>
      <w:iCs w:val="0"/>
      <w:smallCaps w:val="0"/>
      <w:strike w:val="0"/>
      <w:sz w:val="36"/>
      <w:szCs w:val="36"/>
      <w:u w:val="none"/>
    </w:rPr>
  </w:style>
  <w:style w:type="character" w:customStyle="1" w:styleId="Bodytext2">
    <w:name w:val="Body text (2)_"/>
    <w:basedOn w:val="DefaultParagraphFont"/>
    <w:link w:val="Bodytext20"/>
    <w:rPr>
      <w:rFonts w:ascii="Tahoma" w:eastAsia="Tahoma" w:hAnsi="Tahoma" w:cs="Tahoma"/>
      <w:b/>
      <w:bCs/>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iCs/>
      <w:smallCaps w:val="0"/>
      <w:strike w:val="0"/>
      <w:sz w:val="19"/>
      <w:szCs w:val="19"/>
      <w:u w:val="none"/>
    </w:rPr>
  </w:style>
  <w:style w:type="paragraph" w:customStyle="1" w:styleId="Headerorfooter0">
    <w:name w:val="Header or footer"/>
    <w:basedOn w:val="Normal"/>
    <w:link w:val="Headerorfooter"/>
    <w:rPr>
      <w:rFonts w:ascii="Arial" w:eastAsia="Arial" w:hAnsi="Arial" w:cs="Arial"/>
      <w:sz w:val="20"/>
      <w:szCs w:val="20"/>
    </w:rPr>
  </w:style>
  <w:style w:type="paragraph" w:styleId="BodyText">
    <w:name w:val="Body Text"/>
    <w:basedOn w:val="Normal"/>
    <w:link w:val="BodyTextChar"/>
    <w:qFormat/>
    <w:pPr>
      <w:spacing w:after="340" w:line="480" w:lineRule="auto"/>
      <w:ind w:firstLine="400"/>
    </w:pPr>
    <w:rPr>
      <w:rFonts w:ascii="Tahoma" w:eastAsia="Tahoma" w:hAnsi="Tahoma" w:cs="Tahoma"/>
      <w:sz w:val="26"/>
      <w:szCs w:val="26"/>
    </w:rPr>
  </w:style>
  <w:style w:type="paragraph" w:customStyle="1" w:styleId="Heading10">
    <w:name w:val="Heading #1"/>
    <w:basedOn w:val="Normal"/>
    <w:link w:val="Heading1"/>
    <w:pPr>
      <w:spacing w:after="180"/>
      <w:jc w:val="center"/>
      <w:outlineLvl w:val="0"/>
    </w:pPr>
    <w:rPr>
      <w:rFonts w:ascii="Tahoma" w:eastAsia="Tahoma" w:hAnsi="Tahoma" w:cs="Tahoma"/>
      <w:b/>
      <w:bCs/>
      <w:sz w:val="36"/>
      <w:szCs w:val="36"/>
    </w:rPr>
  </w:style>
  <w:style w:type="paragraph" w:customStyle="1" w:styleId="Bodytext20">
    <w:name w:val="Body text (2)"/>
    <w:basedOn w:val="Normal"/>
    <w:link w:val="Bodytext2"/>
    <w:rPr>
      <w:rFonts w:ascii="Tahoma" w:eastAsia="Tahoma" w:hAnsi="Tahoma" w:cs="Tahoma"/>
      <w:b/>
      <w:bCs/>
      <w:sz w:val="20"/>
      <w:szCs w:val="20"/>
    </w:rPr>
  </w:style>
  <w:style w:type="paragraph" w:customStyle="1" w:styleId="Bodytext30">
    <w:name w:val="Body text (3)"/>
    <w:basedOn w:val="Normal"/>
    <w:link w:val="Bodytext3"/>
    <w:pPr>
      <w:spacing w:line="204" w:lineRule="auto"/>
      <w:jc w:val="center"/>
    </w:pPr>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J. KAAYA</cp:lastModifiedBy>
  <cp:revision>2</cp:revision>
  <dcterms:created xsi:type="dcterms:W3CDTF">2022-03-29T11:40:00Z</dcterms:created>
  <dcterms:modified xsi:type="dcterms:W3CDTF">2022-03-29T11:51:00Z</dcterms:modified>
</cp:coreProperties>
</file>